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FE638A">
      <w:pPr>
        <w:pStyle w:val="31"/>
        <w:jc w:val="center"/>
        <w:rPr>
          <w:rFonts w:hint="default" w:eastAsia="宋体"/>
          <w:b/>
          <w:color w:val="000000"/>
          <w:sz w:val="36"/>
          <w:lang w:val="en-US" w:eastAsia="zh-CN"/>
        </w:rPr>
      </w:pPr>
      <w:r>
        <w:rPr>
          <w:rFonts w:hint="eastAsia" w:eastAsia="宋体"/>
          <w:b/>
          <w:color w:val="000000"/>
          <w:sz w:val="36"/>
          <w:lang w:val="en-US" w:eastAsia="zh-CN"/>
        </w:rPr>
        <w:t>Pine-INT-5</w:t>
      </w:r>
    </w:p>
    <w:p w14:paraId="437C228C">
      <w:pPr>
        <w:pStyle w:val="31"/>
        <w:jc w:val="center"/>
        <w:rPr>
          <w:sz w:val="44"/>
          <w:szCs w:val="44"/>
        </w:rPr>
      </w:pPr>
      <w:r>
        <w:rPr>
          <w:b/>
          <w:color w:val="000000"/>
          <w:sz w:val="28"/>
          <w:szCs w:val="44"/>
        </w:rPr>
        <w:t>Large Sphere 5-Band Detection &amp; Jamming Integrated Quad Array</w:t>
      </w:r>
    </w:p>
    <w:tbl>
      <w:tblPr>
        <w:tblStyle w:val="33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8"/>
        <w:gridCol w:w="4378"/>
      </w:tblGrid>
      <w:tr w14:paraId="41F77C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540" w:hRule="atLeast"/>
        </w:trPr>
        <w:tc>
          <w:tcPr>
            <w:tcW w:w="2528" w:type="pct"/>
            <w:vAlign w:val="center"/>
          </w:tcPr>
          <w:p w14:paraId="4934C807">
            <w:pPr>
              <w:jc w:val="center"/>
              <w:rPr>
                <w:rFonts w:hint="default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drawing>
                <wp:inline distT="0" distB="0" distL="114300" distR="114300">
                  <wp:extent cx="1609725" cy="4006215"/>
                  <wp:effectExtent l="0" t="0" r="0" b="0"/>
                  <wp:docPr id="4" name="图片 4" descr="松树-INT 固定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松树-INT 固定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4006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1" w:type="pct"/>
            <w:vAlign w:val="center"/>
          </w:tcPr>
          <w:p w14:paraId="28849409">
            <w:pPr>
              <w:jc w:val="center"/>
              <w:rPr>
                <w:rFonts w:hint="default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/>
                <w:b/>
                <w:bCs/>
                <w:sz w:val="32"/>
                <w:szCs w:val="32"/>
                <w:vertAlign w:val="baseline"/>
                <w:lang w:val="en-US" w:eastAsia="zh-CN"/>
              </w:rPr>
              <w:drawing>
                <wp:inline distT="0" distB="0" distL="114300" distR="114300">
                  <wp:extent cx="2334260" cy="2267585"/>
                  <wp:effectExtent l="0" t="0" r="12700" b="3175"/>
                  <wp:docPr id="3" name="图片 3" descr="松树-INT 车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松树-INT 车载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4260" cy="2267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61ACC3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28" w:type="pct"/>
            <w:vAlign w:val="center"/>
          </w:tcPr>
          <w:p w14:paraId="2748A87C">
            <w:pPr>
              <w:jc w:val="center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b/>
                <w:sz w:val="24"/>
              </w:rPr>
              <w:t>Fixed – Detection Large Sphere + 5-Band Jamming</w:t>
            </w:r>
          </w:p>
          <w:p w14:paraId="50D091EE">
            <w:pPr>
              <w:jc w:val="center"/>
              <w:rPr>
                <w:rFonts w:hint="default"/>
                <w:b/>
                <w:bCs/>
                <w:lang w:val="en-US" w:eastAsia="zh-CN"/>
              </w:rPr>
            </w:pPr>
          </w:p>
          <w:p w14:paraId="3E7328D3">
            <w:pPr>
              <w:jc w:val="center"/>
              <w:rPr>
                <w:rFonts w:hint="default"/>
                <w:b/>
                <w:bCs/>
                <w:lang w:val="en-US" w:eastAsia="zh-CN"/>
              </w:rPr>
            </w:pPr>
          </w:p>
        </w:tc>
        <w:tc>
          <w:tcPr>
            <w:tcW w:w="2471" w:type="pct"/>
            <w:shd w:val="clear" w:color="auto" w:fill="auto"/>
            <w:vAlign w:val="center"/>
          </w:tcPr>
          <w:p w14:paraId="642FD04A">
            <w:pPr>
              <w:jc w:val="center"/>
              <w:rPr>
                <w:rFonts w:hint="default"/>
                <w:b/>
                <w:bCs/>
                <w:lang w:val="en-US" w:eastAsia="zh-CN"/>
              </w:rPr>
            </w:pPr>
            <w:r>
              <w:rPr>
                <w:b/>
                <w:sz w:val="24"/>
              </w:rPr>
              <w:t>Vehicle-Mounted – Detection Large Sphere + 5-Band Jamming</w:t>
            </w:r>
          </w:p>
          <w:p w14:paraId="70552A4B">
            <w:pPr>
              <w:jc w:val="center"/>
              <w:rPr>
                <w:rFonts w:hint="default"/>
                <w:b/>
                <w:bCs/>
                <w:lang w:val="en-US" w:eastAsia="zh-CN"/>
              </w:rPr>
            </w:pPr>
          </w:p>
          <w:p w14:paraId="0437A238">
            <w:pPr>
              <w:jc w:val="center"/>
              <w:rPr>
                <w:rFonts w:hint="default"/>
                <w:b/>
                <w:bCs/>
                <w:lang w:val="en-US" w:eastAsia="zh-CN"/>
              </w:rPr>
            </w:pPr>
          </w:p>
        </w:tc>
      </w:tr>
    </w:tbl>
    <w:p w14:paraId="7DDDB912"/>
    <w:p w14:paraId="127A64BF">
      <w:pPr>
        <w:pStyle w:val="3"/>
      </w:pPr>
      <w:r>
        <w:rPr>
          <w:b/>
          <w:sz w:val="28"/>
        </w:rPr>
        <w:t>Product Introduction</w:t>
      </w:r>
    </w:p>
    <w:p w14:paraId="73412C04">
      <w:pPr>
        <w:jc w:val="both"/>
      </w:pPr>
      <w:r>
        <w:t>The 5-band detection and jamming integrated quad array system consists of a detector and a four-sided directional jamming array, capable of detecting, identifying, and jamming UAVs. It can cause UAVs to hover in place, force-land, or return to home, effectively protecting low-altitude airspace safety and preventing UAVs from entering the defense zone. It features excellent detection and defense performance, long-distance operation capability, requires no personnel on duty, and is capable of automatic UAV detection and defense. It can be deployed in fixed or vehicle-mounted configurations according to different scenario requirements. Direction-finding functionality is also available as an option.</w:t>
      </w:r>
    </w:p>
    <w:p w14:paraId="7699CA1F">
      <w:pPr>
        <w:pStyle w:val="3"/>
      </w:pPr>
      <w:r>
        <w:rPr>
          <w:b/>
          <w:sz w:val="28"/>
        </w:rPr>
        <w:t>Features</w:t>
      </w:r>
    </w:p>
    <w:p w14:paraId="419E59FC">
      <w:pPr>
        <w:pStyle w:val="16"/>
        <w:jc w:val="both"/>
      </w:pPr>
      <w:r>
        <w:t>Omnidirectional Transmission: Four-sided directional jamming devices form a 360° omnidirectional jamming enclosure.</w:t>
      </w:r>
    </w:p>
    <w:p w14:paraId="2FAFE29B">
      <w:pPr>
        <w:pStyle w:val="16"/>
        <w:jc w:val="both"/>
      </w:pPr>
      <w:r>
        <w:t>Networked Management: Multiple systems can be networked and centrally managed via LAN/Internet.</w:t>
      </w:r>
    </w:p>
    <w:p w14:paraId="749D5AC1">
      <w:pPr>
        <w:pStyle w:val="16"/>
        <w:jc w:val="both"/>
      </w:pPr>
      <w:r>
        <w:t>Unattended Operation: Automatic response strategies can be configured in the software backend for 24-hour unattended operation.</w:t>
      </w:r>
    </w:p>
    <w:p w14:paraId="082927F0">
      <w:pPr>
        <w:pStyle w:val="3"/>
      </w:pPr>
      <w:r>
        <w:rPr>
          <w:b/>
          <w:sz w:val="28"/>
        </w:rPr>
        <w:t>Product Specifications</w:t>
      </w:r>
    </w:p>
    <w:tbl>
      <w:tblPr>
        <w:tblStyle w:val="3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1"/>
        <w:gridCol w:w="2681"/>
        <w:gridCol w:w="3794"/>
      </w:tblGrid>
      <w:tr w14:paraId="068F3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1" w:type="dxa"/>
          </w:tcPr>
          <w:p w14:paraId="452642D0">
            <w:pPr>
              <w:spacing w:after="0" w:line="240" w:lineRule="auto"/>
            </w:pPr>
          </w:p>
        </w:tc>
        <w:tc>
          <w:tcPr>
            <w:tcW w:w="2681" w:type="dxa"/>
          </w:tcPr>
          <w:p w14:paraId="154401F6">
            <w:pPr>
              <w:spacing w:after="0" w:line="240" w:lineRule="auto"/>
            </w:pPr>
            <w:r>
              <w:rPr>
                <w:b/>
                <w:sz w:val="22"/>
              </w:rPr>
              <w:t>Parameter Name</w:t>
            </w:r>
          </w:p>
        </w:tc>
        <w:tc>
          <w:tcPr>
            <w:tcW w:w="3794" w:type="dxa"/>
          </w:tcPr>
          <w:p w14:paraId="6DD628CC">
            <w:pPr>
              <w:spacing w:after="0" w:line="240" w:lineRule="auto"/>
            </w:pPr>
            <w:r>
              <w:rPr>
                <w:b/>
                <w:sz w:val="22"/>
              </w:rPr>
              <w:t>Parameter Value</w:t>
            </w:r>
          </w:p>
        </w:tc>
      </w:tr>
      <w:tr w14:paraId="0EFD81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1" w:type="dxa"/>
            <w:vMerge w:val="restart"/>
          </w:tcPr>
          <w:p w14:paraId="588081D9">
            <w:pPr>
              <w:spacing w:after="0" w:line="240" w:lineRule="auto"/>
              <w:jc w:val="center"/>
            </w:pPr>
          </w:p>
          <w:p w14:paraId="09A9C569">
            <w:pPr>
              <w:spacing w:after="0" w:line="240" w:lineRule="auto"/>
              <w:jc w:val="center"/>
            </w:pPr>
          </w:p>
          <w:p w14:paraId="5098F7A0">
            <w:pPr>
              <w:spacing w:after="0" w:line="240" w:lineRule="auto"/>
              <w:jc w:val="center"/>
            </w:pPr>
          </w:p>
          <w:p w14:paraId="1EEF0D6E">
            <w:pPr>
              <w:spacing w:after="0" w:line="240" w:lineRule="auto"/>
              <w:jc w:val="center"/>
            </w:pPr>
            <w:r>
              <w:t>System</w:t>
            </w:r>
          </w:p>
        </w:tc>
        <w:tc>
          <w:tcPr>
            <w:tcW w:w="2681" w:type="dxa"/>
          </w:tcPr>
          <w:p w14:paraId="1F75B516">
            <w:pPr>
              <w:spacing w:after="0" w:line="240" w:lineRule="auto"/>
            </w:pPr>
            <w:r>
              <w:t>Overall Dimensions</w:t>
            </w:r>
          </w:p>
        </w:tc>
        <w:tc>
          <w:tcPr>
            <w:tcW w:w="3794" w:type="dxa"/>
          </w:tcPr>
          <w:p w14:paraId="560E43E8">
            <w:pPr>
              <w:spacing w:after="0" w:line="240" w:lineRule="auto"/>
            </w:pPr>
            <w:r>
              <w:t>700 × 700 × 445 mm (excluding tripod and vehicle-mounted base)</w:t>
            </w:r>
          </w:p>
        </w:tc>
      </w:tr>
      <w:tr w14:paraId="30B6F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1" w:type="dxa"/>
            <w:vMerge w:val="continue"/>
            <w:tcBorders/>
          </w:tcPr>
          <w:p w14:paraId="3B3C47A9">
            <w:pPr>
              <w:spacing w:after="0" w:line="240" w:lineRule="auto"/>
            </w:pPr>
          </w:p>
        </w:tc>
        <w:tc>
          <w:tcPr>
            <w:tcW w:w="2681" w:type="dxa"/>
          </w:tcPr>
          <w:p w14:paraId="521EB349">
            <w:pPr>
              <w:spacing w:after="0" w:line="240" w:lineRule="auto"/>
            </w:pPr>
            <w:r>
              <w:t>Overall Weight</w:t>
            </w:r>
          </w:p>
        </w:tc>
        <w:tc>
          <w:tcPr>
            <w:tcW w:w="3794" w:type="dxa"/>
          </w:tcPr>
          <w:p w14:paraId="740B75F8">
            <w:pPr>
              <w:spacing w:after="0" w:line="240" w:lineRule="auto"/>
            </w:pPr>
            <w:r>
              <w:t>26 kg</w:t>
            </w:r>
          </w:p>
        </w:tc>
      </w:tr>
      <w:tr w14:paraId="5CA35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1" w:type="dxa"/>
            <w:vMerge w:val="continue"/>
            <w:tcBorders/>
          </w:tcPr>
          <w:p w14:paraId="518F5A30">
            <w:pPr>
              <w:spacing w:after="0" w:line="240" w:lineRule="auto"/>
            </w:pPr>
          </w:p>
        </w:tc>
        <w:tc>
          <w:tcPr>
            <w:tcW w:w="2681" w:type="dxa"/>
          </w:tcPr>
          <w:p w14:paraId="395BBB86">
            <w:pPr>
              <w:spacing w:after="0" w:line="240" w:lineRule="auto"/>
            </w:pPr>
            <w:r>
              <w:t>Deployment Mode</w:t>
            </w:r>
          </w:p>
        </w:tc>
        <w:tc>
          <w:tcPr>
            <w:tcW w:w="3794" w:type="dxa"/>
          </w:tcPr>
          <w:p w14:paraId="5CF603EA">
            <w:pPr>
              <w:spacing w:after="0" w:line="240" w:lineRule="auto"/>
            </w:pPr>
            <w:r>
              <w:t>Fixed, vehicle-mounted</w:t>
            </w:r>
          </w:p>
        </w:tc>
      </w:tr>
      <w:tr w14:paraId="20811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1" w:type="dxa"/>
            <w:vMerge w:val="continue"/>
            <w:tcBorders/>
          </w:tcPr>
          <w:p w14:paraId="4A688FF9">
            <w:pPr>
              <w:spacing w:after="0" w:line="240" w:lineRule="auto"/>
            </w:pPr>
          </w:p>
        </w:tc>
        <w:tc>
          <w:tcPr>
            <w:tcW w:w="2681" w:type="dxa"/>
          </w:tcPr>
          <w:p w14:paraId="62E38515">
            <w:pPr>
              <w:spacing w:after="0" w:line="240" w:lineRule="auto"/>
            </w:pPr>
            <w:r>
              <w:t>Power Supply</w:t>
            </w:r>
          </w:p>
        </w:tc>
        <w:tc>
          <w:tcPr>
            <w:tcW w:w="3794" w:type="dxa"/>
          </w:tcPr>
          <w:p w14:paraId="73E13EAB">
            <w:pPr>
              <w:spacing w:after="0" w:line="240" w:lineRule="auto"/>
            </w:pPr>
            <w:r>
              <w:t>AC 220 V mains power</w:t>
            </w:r>
          </w:p>
        </w:tc>
      </w:tr>
      <w:tr w14:paraId="4EE0E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1" w:type="dxa"/>
            <w:vMerge w:val="continue"/>
            <w:tcBorders/>
          </w:tcPr>
          <w:p w14:paraId="55AB2D8A">
            <w:pPr>
              <w:spacing w:after="0" w:line="240" w:lineRule="auto"/>
            </w:pPr>
          </w:p>
        </w:tc>
        <w:tc>
          <w:tcPr>
            <w:tcW w:w="2681" w:type="dxa"/>
          </w:tcPr>
          <w:p w14:paraId="6DA19BF2">
            <w:pPr>
              <w:spacing w:after="0" w:line="240" w:lineRule="auto"/>
            </w:pPr>
            <w:r>
              <w:t>Power Consumption</w:t>
            </w:r>
          </w:p>
        </w:tc>
        <w:tc>
          <w:tcPr>
            <w:tcW w:w="3794" w:type="dxa"/>
          </w:tcPr>
          <w:p w14:paraId="445D7803">
            <w:pPr>
              <w:spacing w:after="0" w:line="240" w:lineRule="auto"/>
            </w:pPr>
            <w:r>
              <w:t>Directional jamming chassis: 1120 W (full load operation)</w:t>
            </w:r>
          </w:p>
        </w:tc>
      </w:tr>
      <w:tr w14:paraId="00467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1" w:type="dxa"/>
            <w:vMerge w:val="continue"/>
            <w:tcBorders/>
          </w:tcPr>
          <w:p w14:paraId="26CFA197">
            <w:pPr>
              <w:spacing w:after="0" w:line="240" w:lineRule="auto"/>
            </w:pPr>
          </w:p>
        </w:tc>
        <w:tc>
          <w:tcPr>
            <w:tcW w:w="2681" w:type="dxa"/>
          </w:tcPr>
          <w:p w14:paraId="0421F3E3">
            <w:pPr>
              <w:spacing w:after="0" w:line="240" w:lineRule="auto"/>
            </w:pPr>
            <w:r>
              <w:t>Operating Temperature</w:t>
            </w:r>
          </w:p>
        </w:tc>
        <w:tc>
          <w:tcPr>
            <w:tcW w:w="3794" w:type="dxa"/>
          </w:tcPr>
          <w:p w14:paraId="01D8BC86">
            <w:pPr>
              <w:spacing w:after="0" w:line="240" w:lineRule="auto"/>
            </w:pPr>
            <w:r>
              <w:t>-20 ~ 50 ℃</w:t>
            </w:r>
          </w:p>
        </w:tc>
      </w:tr>
      <w:tr w14:paraId="583DA0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1" w:type="dxa"/>
            <w:vMerge w:val="restart"/>
          </w:tcPr>
          <w:p w14:paraId="4C935968">
            <w:pPr>
              <w:spacing w:after="0" w:line="240" w:lineRule="auto"/>
              <w:jc w:val="center"/>
            </w:pPr>
          </w:p>
          <w:p w14:paraId="2176ADB7">
            <w:pPr>
              <w:spacing w:after="0" w:line="240" w:lineRule="auto"/>
              <w:jc w:val="center"/>
            </w:pPr>
          </w:p>
          <w:p w14:paraId="06C4A06B">
            <w:pPr>
              <w:spacing w:after="0" w:line="240" w:lineRule="auto"/>
              <w:jc w:val="center"/>
            </w:pPr>
          </w:p>
          <w:p w14:paraId="4E9B307D">
            <w:pPr>
              <w:spacing w:after="0" w:line="240" w:lineRule="auto"/>
              <w:jc w:val="both"/>
            </w:pPr>
            <w:r>
              <w:t>Detection (large sphere)</w:t>
            </w:r>
          </w:p>
        </w:tc>
        <w:tc>
          <w:tcPr>
            <w:tcW w:w="2681" w:type="dxa"/>
          </w:tcPr>
          <w:p w14:paraId="53EE662B">
            <w:pPr>
              <w:spacing w:after="0" w:line="240" w:lineRule="auto"/>
            </w:pPr>
            <w:r>
              <w:t>Detection Range (radius)</w:t>
            </w:r>
          </w:p>
        </w:tc>
        <w:tc>
          <w:tcPr>
            <w:tcW w:w="3794" w:type="dxa"/>
          </w:tcPr>
          <w:p w14:paraId="3E0B8135">
            <w:pPr>
              <w:spacing w:after="0" w:line="240" w:lineRule="auto"/>
            </w:pPr>
            <w:r>
              <w:t>1 ~ 10 km+ (varies with environment and UAV model)</w:t>
            </w:r>
          </w:p>
        </w:tc>
      </w:tr>
      <w:tr w14:paraId="50A3E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1" w:type="dxa"/>
            <w:vMerge w:val="continue"/>
            <w:tcBorders/>
          </w:tcPr>
          <w:p w14:paraId="2C2BED56">
            <w:pPr>
              <w:spacing w:after="0" w:line="240" w:lineRule="auto"/>
            </w:pPr>
          </w:p>
        </w:tc>
        <w:tc>
          <w:tcPr>
            <w:tcW w:w="2681" w:type="dxa"/>
          </w:tcPr>
          <w:p w14:paraId="632E84D3">
            <w:pPr>
              <w:spacing w:after="0" w:line="240" w:lineRule="auto"/>
            </w:pPr>
            <w:r>
              <w:t>Detection Frequency</w:t>
            </w:r>
          </w:p>
        </w:tc>
        <w:tc>
          <w:tcPr>
            <w:tcW w:w="3794" w:type="dxa"/>
          </w:tcPr>
          <w:p w14:paraId="30395A82">
            <w:pPr>
              <w:spacing w:after="0" w:line="240" w:lineRule="auto"/>
            </w:pPr>
            <w:r>
              <w:t>2.4 GHz, 5.2 GHz, 5.8 GHz, 0.4 GHz, 0.9 GHz, 1.4 GHz</w:t>
            </w:r>
          </w:p>
        </w:tc>
      </w:tr>
      <w:tr w14:paraId="05879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1" w:type="dxa"/>
            <w:vMerge w:val="continue"/>
            <w:tcBorders/>
          </w:tcPr>
          <w:p w14:paraId="6A4DF97C">
            <w:pPr>
              <w:spacing w:after="0" w:line="240" w:lineRule="auto"/>
            </w:pPr>
          </w:p>
        </w:tc>
        <w:tc>
          <w:tcPr>
            <w:tcW w:w="2681" w:type="dxa"/>
          </w:tcPr>
          <w:p w14:paraId="13A534C6">
            <w:pPr>
              <w:spacing w:after="0" w:line="240" w:lineRule="auto"/>
            </w:pPr>
            <w:r>
              <w:t>Detection Angle</w:t>
            </w:r>
          </w:p>
        </w:tc>
        <w:tc>
          <w:tcPr>
            <w:tcW w:w="3794" w:type="dxa"/>
          </w:tcPr>
          <w:p w14:paraId="2C05D29B">
            <w:pPr>
              <w:spacing w:after="0" w:line="240" w:lineRule="auto"/>
            </w:pPr>
            <w:r>
              <w:t>Omnidirectional 360°</w:t>
            </w:r>
          </w:p>
        </w:tc>
      </w:tr>
      <w:tr w14:paraId="4A8654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1" w:type="dxa"/>
            <w:vMerge w:val="continue"/>
            <w:tcBorders/>
          </w:tcPr>
          <w:p w14:paraId="1615069D">
            <w:pPr>
              <w:spacing w:after="0" w:line="240" w:lineRule="auto"/>
            </w:pPr>
          </w:p>
        </w:tc>
        <w:tc>
          <w:tcPr>
            <w:tcW w:w="2681" w:type="dxa"/>
          </w:tcPr>
          <w:p w14:paraId="7756559E">
            <w:pPr>
              <w:spacing w:after="0" w:line="240" w:lineRule="auto"/>
            </w:pPr>
            <w:r>
              <w:rPr>
                <w:rFonts w:hint="eastAsia"/>
              </w:rPr>
              <w:t>Direction Finding</w:t>
            </w:r>
            <w:r>
              <w:rPr>
                <w:rFonts w:hint="eastAsia" w:eastAsia="宋体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Accuracy</w:t>
            </w:r>
          </w:p>
        </w:tc>
        <w:tc>
          <w:tcPr>
            <w:tcW w:w="3794" w:type="dxa"/>
          </w:tcPr>
          <w:p w14:paraId="061A457D">
            <w:pPr>
              <w:spacing w:after="0" w:line="240" w:lineRule="auto"/>
            </w:pPr>
            <w:r>
              <w:t>≤ 3° (RMS)</w:t>
            </w:r>
          </w:p>
        </w:tc>
      </w:tr>
      <w:tr w14:paraId="66F79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1" w:type="dxa"/>
            <w:vMerge w:val="continue"/>
            <w:tcBorders/>
          </w:tcPr>
          <w:p w14:paraId="0273518D">
            <w:pPr>
              <w:spacing w:after="0" w:line="240" w:lineRule="auto"/>
            </w:pPr>
          </w:p>
        </w:tc>
        <w:tc>
          <w:tcPr>
            <w:tcW w:w="2681" w:type="dxa"/>
          </w:tcPr>
          <w:p w14:paraId="450D7DA2">
            <w:pPr>
              <w:spacing w:after="0" w:line="240" w:lineRule="auto"/>
              <w:rPr>
                <w:rFonts w:hint="eastAsia"/>
              </w:rPr>
            </w:pPr>
            <w:r>
              <w:t>Positioning Accuracy</w:t>
            </w:r>
          </w:p>
        </w:tc>
        <w:tc>
          <w:tcPr>
            <w:tcW w:w="3794" w:type="dxa"/>
          </w:tcPr>
          <w:p w14:paraId="7E2A9C3D">
            <w:pPr>
              <w:spacing w:after="0" w:line="240" w:lineRule="auto"/>
            </w:pPr>
            <w:r>
              <w:rPr>
                <w:rFonts w:hint="eastAsia"/>
                <w:b w:val="0"/>
                <w:bCs w:val="0"/>
                <w:vertAlign w:val="baseline"/>
                <w:lang w:val="en-US" w:eastAsia="zh-CN"/>
              </w:rPr>
              <w:t>≤10m(RMS)</w:t>
            </w:r>
            <w:bookmarkStart w:id="0" w:name="_GoBack"/>
            <w:bookmarkEnd w:id="0"/>
          </w:p>
        </w:tc>
      </w:tr>
      <w:tr w14:paraId="13461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1" w:type="dxa"/>
            <w:vMerge w:val="restart"/>
          </w:tcPr>
          <w:p w14:paraId="5F4FD7C2">
            <w:pPr>
              <w:spacing w:after="0" w:line="240" w:lineRule="auto"/>
              <w:jc w:val="center"/>
            </w:pPr>
          </w:p>
          <w:p w14:paraId="134B6E4B">
            <w:pPr>
              <w:spacing w:after="0" w:line="240" w:lineRule="auto"/>
              <w:jc w:val="center"/>
            </w:pPr>
          </w:p>
          <w:p w14:paraId="728F752B">
            <w:pPr>
              <w:spacing w:after="0" w:line="240" w:lineRule="auto"/>
              <w:jc w:val="center"/>
            </w:pPr>
          </w:p>
          <w:p w14:paraId="45B9AA20">
            <w:pPr>
              <w:spacing w:after="0" w:line="240" w:lineRule="auto"/>
              <w:jc w:val="center"/>
            </w:pPr>
          </w:p>
          <w:p w14:paraId="1831B1D2">
            <w:pPr>
              <w:spacing w:after="0" w:line="240" w:lineRule="auto"/>
              <w:jc w:val="center"/>
            </w:pPr>
            <w:r>
              <w:t>Jamming</w:t>
            </w:r>
          </w:p>
        </w:tc>
        <w:tc>
          <w:tcPr>
            <w:tcW w:w="2681" w:type="dxa"/>
          </w:tcPr>
          <w:p w14:paraId="2C8F7413">
            <w:pPr>
              <w:spacing w:after="0" w:line="240" w:lineRule="auto"/>
            </w:pPr>
            <w:r>
              <w:t>Jamming Frequency</w:t>
            </w:r>
          </w:p>
        </w:tc>
        <w:tc>
          <w:tcPr>
            <w:tcW w:w="3794" w:type="dxa"/>
          </w:tcPr>
          <w:p w14:paraId="3FD8122B">
            <w:pPr>
              <w:spacing w:after="0" w:line="240" w:lineRule="auto"/>
            </w:pPr>
            <w:r>
              <w:t>800 M, 900 M, 2.4 G, 5.2 G, 5.8 G</w:t>
            </w:r>
          </w:p>
        </w:tc>
      </w:tr>
      <w:tr w14:paraId="2FBE3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1" w:type="dxa"/>
            <w:vMerge w:val="continue"/>
            <w:tcBorders/>
          </w:tcPr>
          <w:p w14:paraId="002D8723">
            <w:pPr>
              <w:spacing w:after="0" w:line="240" w:lineRule="auto"/>
            </w:pPr>
          </w:p>
        </w:tc>
        <w:tc>
          <w:tcPr>
            <w:tcW w:w="2681" w:type="dxa"/>
          </w:tcPr>
          <w:p w14:paraId="48E39FDF">
            <w:pPr>
              <w:spacing w:after="0" w:line="240" w:lineRule="auto"/>
            </w:pPr>
            <w:r>
              <w:t>Jamming Power</w:t>
            </w:r>
          </w:p>
        </w:tc>
        <w:tc>
          <w:tcPr>
            <w:tcW w:w="3794" w:type="dxa"/>
          </w:tcPr>
          <w:p w14:paraId="55594424">
            <w:pPr>
              <w:spacing w:after="0" w:line="240" w:lineRule="auto"/>
            </w:pPr>
            <w:r>
              <w:t>50 W (800 M), 50 W (900 M), 65 W (2.4 G), 50 W (5.2 G), 65 W (5.8 G)</w:t>
            </w:r>
          </w:p>
        </w:tc>
      </w:tr>
      <w:tr w14:paraId="38058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1" w:type="dxa"/>
            <w:vMerge w:val="continue"/>
            <w:tcBorders/>
          </w:tcPr>
          <w:p w14:paraId="1FE03FBA">
            <w:pPr>
              <w:spacing w:after="0" w:line="240" w:lineRule="auto"/>
            </w:pPr>
          </w:p>
        </w:tc>
        <w:tc>
          <w:tcPr>
            <w:tcW w:w="2681" w:type="dxa"/>
          </w:tcPr>
          <w:p w14:paraId="387EDED4">
            <w:pPr>
              <w:spacing w:after="0" w:line="240" w:lineRule="auto"/>
            </w:pPr>
            <w:r>
              <w:t>Jamming Range</w:t>
            </w:r>
          </w:p>
        </w:tc>
        <w:tc>
          <w:tcPr>
            <w:tcW w:w="3794" w:type="dxa"/>
          </w:tcPr>
          <w:p w14:paraId="2F5323A8">
            <w:pPr>
              <w:spacing w:after="0" w:line="240" w:lineRule="auto"/>
            </w:pPr>
            <w:r>
              <w:t>3 km (in open line-of-sight environment)</w:t>
            </w:r>
          </w:p>
        </w:tc>
      </w:tr>
      <w:tr w14:paraId="0A72D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1" w:type="dxa"/>
            <w:vMerge w:val="continue"/>
            <w:tcBorders/>
          </w:tcPr>
          <w:p w14:paraId="320064CC">
            <w:pPr>
              <w:spacing w:after="0" w:line="240" w:lineRule="auto"/>
            </w:pPr>
          </w:p>
        </w:tc>
        <w:tc>
          <w:tcPr>
            <w:tcW w:w="2681" w:type="dxa"/>
          </w:tcPr>
          <w:p w14:paraId="6394013D">
            <w:pPr>
              <w:spacing w:after="0" w:line="240" w:lineRule="auto"/>
            </w:pPr>
            <w:r>
              <w:t>Jamming Angle</w:t>
            </w:r>
          </w:p>
        </w:tc>
        <w:tc>
          <w:tcPr>
            <w:tcW w:w="3794" w:type="dxa"/>
          </w:tcPr>
          <w:p w14:paraId="32E1630D">
            <w:pPr>
              <w:spacing w:after="0" w:line="240" w:lineRule="auto"/>
            </w:pPr>
            <w:r>
              <w:t>Horizontal: 65°, Vertical: 30° (directional)</w:t>
            </w:r>
          </w:p>
        </w:tc>
      </w:tr>
      <w:tr w14:paraId="6C745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81" w:type="dxa"/>
            <w:vMerge w:val="continue"/>
            <w:tcBorders/>
          </w:tcPr>
          <w:p w14:paraId="1305975F">
            <w:pPr>
              <w:spacing w:after="0" w:line="240" w:lineRule="auto"/>
            </w:pPr>
          </w:p>
        </w:tc>
        <w:tc>
          <w:tcPr>
            <w:tcW w:w="2681" w:type="dxa"/>
          </w:tcPr>
          <w:p w14:paraId="5A61A3D7">
            <w:pPr>
              <w:spacing w:after="0" w:line="240" w:lineRule="auto"/>
            </w:pPr>
            <w:r>
              <w:t>Protection Functions</w:t>
            </w:r>
          </w:p>
        </w:tc>
        <w:tc>
          <w:tcPr>
            <w:tcW w:w="3794" w:type="dxa"/>
          </w:tcPr>
          <w:p w14:paraId="32A18A40">
            <w:pPr>
              <w:spacing w:after="0" w:line="240" w:lineRule="auto"/>
            </w:pPr>
            <w:r>
              <w:t>Temperature control protection, reflection protection</w:t>
            </w:r>
          </w:p>
        </w:tc>
      </w:tr>
    </w:tbl>
    <w:p w14:paraId="0BD2A099"/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Cambria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61E0B84"/>
    <w:rsid w:val="36A138A1"/>
    <w:rsid w:val="37712166"/>
    <w:rsid w:val="41B24ED8"/>
    <w:rsid w:val="57546569"/>
    <w:rsid w:val="5CFC5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qFormat="1" w:unhideWhenUsed="0" w:uiPriority="63" w:semiHidden="0" w:name="Medium Shading 1 Accent 2"/>
    <w:lsdException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Times New Roman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314</Words>
  <Characters>1859</Characters>
  <Lines>0</Lines>
  <Paragraphs>0</Paragraphs>
  <TotalTime>0</TotalTime>
  <ScaleCrop>false</ScaleCrop>
  <LinksUpToDate>false</LinksUpToDate>
  <CharactersWithSpaces>2127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LLLYJ</cp:lastModifiedBy>
  <dcterms:modified xsi:type="dcterms:W3CDTF">2026-05-26T02:14:12Z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eyJoZGlkIjoiZjQyZDFhZjIwNmZlMDgwNWM2M2I2OThkNWM3YzY2NTUiLCJ1c2VySWQiOiI4MTgwNzMyNDYifQ==</vt:lpwstr>
  </property>
  <property fmtid="{D5CDD505-2E9C-101B-9397-08002B2CF9AE}" pid="3" name="KSOProductBuildVer">
    <vt:lpwstr>2052-12.1.0.25865</vt:lpwstr>
  </property>
  <property fmtid="{D5CDD505-2E9C-101B-9397-08002B2CF9AE}" pid="4" name="ICV">
    <vt:lpwstr>6150BD5B86F3437BA06AAFA89605C063_12</vt:lpwstr>
  </property>
</Properties>
</file>