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5ADA7">
      <w:pPr>
        <w:jc w:val="center"/>
        <w:rPr>
          <w:rFonts w:hint="eastAsia" w:ascii="Arial" w:hAnsi="Arial" w:eastAsia="宋体" w:cs="Times New Roman"/>
          <w:b/>
          <w:color w:val="auto"/>
          <w:sz w:val="30"/>
          <w:szCs w:val="30"/>
          <w:lang w:val="en-US" w:eastAsia="zh-CN"/>
        </w:rPr>
      </w:pPr>
      <w:r>
        <w:rPr>
          <w:rFonts w:hint="eastAsia" w:ascii="Arial" w:hAnsi="Arial" w:cs="Times New Roman"/>
          <w:b/>
          <w:color w:val="auto"/>
          <w:sz w:val="32"/>
          <w:szCs w:val="32"/>
          <w:lang w:val="en-US" w:eastAsia="zh-CN"/>
        </w:rPr>
        <w:t xml:space="preserve">VPA1629226 </w:t>
      </w:r>
      <w:r>
        <w:rPr>
          <w:rFonts w:hint="eastAsia" w:ascii="Arial" w:hAnsi="Arial" w:eastAsia="宋体" w:cs="Times New Roman"/>
          <w:b/>
          <w:color w:val="auto"/>
          <w:sz w:val="32"/>
          <w:szCs w:val="32"/>
          <w:lang w:val="en-US" w:eastAsia="zh-CN"/>
        </w:rPr>
        <w:t xml:space="preserve">Module </w:t>
      </w:r>
      <w:r>
        <w:rPr>
          <w:rFonts w:hint="eastAsia" w:ascii="Arial" w:hAnsi="Arial" w:cs="Times New Roman"/>
          <w:b/>
          <w:color w:val="auto"/>
          <w:sz w:val="32"/>
          <w:szCs w:val="32"/>
          <w:lang w:val="en-US" w:eastAsia="zh-CN"/>
        </w:rPr>
        <w:t>Data Sheet</w:t>
      </w:r>
    </w:p>
    <w:p w14:paraId="5DF37498">
      <w:pPr>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Arial" w:hAnsi="Arial" w:eastAsia="宋体" w:cs="Times New Roman"/>
          <w:b/>
          <w:color w:val="auto"/>
          <w:sz w:val="30"/>
          <w:szCs w:val="30"/>
          <w:lang w:val="en-US" w:eastAsia="zh-CN"/>
        </w:rPr>
      </w:pPr>
      <w:r>
        <w:rPr>
          <w:rFonts w:hint="eastAsia" w:ascii="Arial" w:hAnsi="Arial" w:eastAsia="宋体" w:cs="Times New Roman"/>
          <w:b/>
          <w:color w:val="auto"/>
          <w:sz w:val="30"/>
          <w:szCs w:val="30"/>
          <w:lang w:val="en-US" w:eastAsia="zh-CN"/>
        </w:rPr>
        <w:t>Radio Frequency Indicators</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4"/>
        <w:gridCol w:w="799"/>
        <w:gridCol w:w="803"/>
        <w:gridCol w:w="3093"/>
        <w:gridCol w:w="3127"/>
      </w:tblGrid>
      <w:tr w14:paraId="29A3A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4033CC0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top"/>
              <w:rPr>
                <w:rStyle w:val="6"/>
                <w:rFonts w:hint="eastAsia" w:ascii="Arial" w:hAnsi="Arial" w:eastAsia="思源黑体 CN Heavy" w:cs="思源黑体 CN Heavy"/>
                <w:b w:val="0"/>
                <w:bCs w:val="0"/>
                <w:snapToGrid w:val="0"/>
                <w:color w:val="auto"/>
                <w:lang w:val="en-US" w:eastAsia="zh-CN" w:bidi="ar"/>
              </w:rPr>
            </w:pPr>
            <w:r>
              <w:rPr>
                <w:rFonts w:hint="eastAsia" w:ascii="Arial" w:hAnsi="Arial" w:eastAsia="黑体" w:cs="Cambria"/>
                <w:b/>
                <w:bCs w:val="0"/>
                <w:snapToGrid w:val="0"/>
                <w:color w:val="auto"/>
                <w:sz w:val="24"/>
                <w:szCs w:val="24"/>
                <w:lang w:val="en-US" w:eastAsia="zh-CN"/>
              </w:rPr>
              <w:t>Test items</w:t>
            </w:r>
          </w:p>
        </w:tc>
        <w:tc>
          <w:tcPr>
            <w:tcW w:w="1553" w:type="pct"/>
            <w:tcBorders>
              <w:top w:val="single" w:color="auto" w:sz="4" w:space="0"/>
              <w:left w:val="nil"/>
              <w:bottom w:val="single" w:color="auto" w:sz="4" w:space="0"/>
              <w:right w:val="nil"/>
            </w:tcBorders>
            <w:shd w:val="clear" w:color="auto" w:fill="auto"/>
            <w:noWrap w:val="0"/>
            <w:vAlign w:val="center"/>
          </w:tcPr>
          <w:p w14:paraId="7EBB195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top"/>
              <w:rPr>
                <w:rStyle w:val="6"/>
                <w:rFonts w:hint="eastAsia" w:ascii="Arial" w:hAnsi="Arial" w:eastAsia="思源黑体 CN Heavy" w:cs="思源黑体 CN Heavy"/>
                <w:b w:val="0"/>
                <w:bCs w:val="0"/>
                <w:snapToGrid w:val="0"/>
                <w:color w:val="auto"/>
                <w:lang w:val="en-US" w:eastAsia="zh-CN" w:bidi="ar"/>
              </w:rPr>
            </w:pPr>
            <w:r>
              <w:rPr>
                <w:rFonts w:hint="eastAsia" w:ascii="Arial" w:hAnsi="Arial" w:eastAsia="黑体" w:cs="Cambria"/>
                <w:b/>
                <w:bCs w:val="0"/>
                <w:snapToGrid w:val="0"/>
                <w:color w:val="auto"/>
                <w:sz w:val="24"/>
                <w:szCs w:val="24"/>
                <w:lang w:val="en-US" w:eastAsia="zh-CN"/>
              </w:rPr>
              <w:t>Indicator</w:t>
            </w:r>
          </w:p>
        </w:tc>
        <w:tc>
          <w:tcPr>
            <w:tcW w:w="1570" w:type="pct"/>
            <w:tcBorders>
              <w:top w:val="single" w:color="auto" w:sz="4" w:space="0"/>
              <w:left w:val="nil"/>
              <w:bottom w:val="single" w:color="auto" w:sz="4" w:space="0"/>
              <w:right w:val="nil"/>
            </w:tcBorders>
            <w:shd w:val="clear" w:color="auto" w:fill="auto"/>
            <w:noWrap w:val="0"/>
            <w:vAlign w:val="center"/>
          </w:tcPr>
          <w:p w14:paraId="79C6194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top"/>
              <w:rPr>
                <w:rStyle w:val="6"/>
                <w:rFonts w:hint="eastAsia" w:ascii="Arial" w:hAnsi="Arial" w:eastAsia="思源黑体 CN Heavy" w:cs="思源黑体 CN Heavy"/>
                <w:b w:val="0"/>
                <w:bCs w:val="0"/>
                <w:snapToGrid w:val="0"/>
                <w:color w:val="auto"/>
                <w:lang w:val="en-US" w:eastAsia="zh-CN" w:bidi="ar"/>
              </w:rPr>
            </w:pPr>
            <w:r>
              <w:rPr>
                <w:rFonts w:hint="eastAsia" w:ascii="Arial" w:hAnsi="Arial" w:eastAsia="黑体" w:cs="Cambria"/>
                <w:b/>
                <w:bCs w:val="0"/>
                <w:snapToGrid w:val="0"/>
                <w:color w:val="auto"/>
                <w:sz w:val="24"/>
                <w:szCs w:val="24"/>
                <w:lang w:val="en-US" w:eastAsia="zh-CN"/>
              </w:rPr>
              <w:t>Remark</w:t>
            </w:r>
          </w:p>
        </w:tc>
      </w:tr>
      <w:tr w14:paraId="0F3B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3E3F575B">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Operating Voltage</w:t>
            </w:r>
          </w:p>
        </w:tc>
        <w:tc>
          <w:tcPr>
            <w:tcW w:w="1553" w:type="pct"/>
            <w:tcBorders>
              <w:top w:val="single" w:color="auto" w:sz="4" w:space="0"/>
              <w:left w:val="nil"/>
              <w:bottom w:val="single" w:color="auto" w:sz="4" w:space="0"/>
              <w:right w:val="nil"/>
            </w:tcBorders>
            <w:shd w:val="clear" w:color="auto" w:fill="auto"/>
            <w:noWrap w:val="0"/>
            <w:vAlign w:val="center"/>
          </w:tcPr>
          <w:p w14:paraId="119051E2">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28V</w:t>
            </w:r>
          </w:p>
        </w:tc>
        <w:tc>
          <w:tcPr>
            <w:tcW w:w="1570" w:type="pct"/>
            <w:tcBorders>
              <w:top w:val="single" w:color="auto" w:sz="4" w:space="0"/>
              <w:left w:val="nil"/>
              <w:bottom w:val="single" w:color="auto" w:sz="4" w:space="0"/>
              <w:right w:val="nil"/>
            </w:tcBorders>
            <w:shd w:val="clear" w:color="auto" w:fill="auto"/>
            <w:noWrap w:val="0"/>
            <w:vAlign w:val="center"/>
          </w:tcPr>
          <w:p w14:paraId="39A4816E">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28-30V</w:t>
            </w:r>
          </w:p>
        </w:tc>
      </w:tr>
      <w:tr w14:paraId="1152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5D8BC2EB">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Maximum Output Power</w:t>
            </w:r>
          </w:p>
        </w:tc>
        <w:tc>
          <w:tcPr>
            <w:tcW w:w="1553" w:type="pct"/>
            <w:tcBorders>
              <w:top w:val="single" w:color="auto" w:sz="4" w:space="0"/>
              <w:left w:val="nil"/>
              <w:bottom w:val="single" w:color="auto" w:sz="4" w:space="0"/>
              <w:right w:val="nil"/>
            </w:tcBorders>
            <w:shd w:val="clear" w:color="auto" w:fill="auto"/>
            <w:noWrap w:val="0"/>
            <w:vAlign w:val="center"/>
          </w:tcPr>
          <w:p w14:paraId="7D508477">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50±0.5dBm</w:t>
            </w:r>
          </w:p>
        </w:tc>
        <w:tc>
          <w:tcPr>
            <w:tcW w:w="1570" w:type="pct"/>
            <w:tcBorders>
              <w:top w:val="single" w:color="auto" w:sz="4" w:space="0"/>
              <w:left w:val="nil"/>
              <w:bottom w:val="single" w:color="auto" w:sz="4" w:space="0"/>
              <w:right w:val="nil"/>
            </w:tcBorders>
            <w:shd w:val="clear" w:color="auto" w:fill="auto"/>
            <w:noWrap w:val="0"/>
            <w:vAlign w:val="center"/>
          </w:tcPr>
          <w:p w14:paraId="24068BAC">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p>
        </w:tc>
      </w:tr>
      <w:tr w14:paraId="50B8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67B872AC">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Operating Current</w:t>
            </w:r>
          </w:p>
        </w:tc>
        <w:tc>
          <w:tcPr>
            <w:tcW w:w="1553" w:type="pct"/>
            <w:tcBorders>
              <w:top w:val="single" w:color="auto" w:sz="4" w:space="0"/>
              <w:left w:val="nil"/>
              <w:bottom w:val="single" w:color="auto" w:sz="4" w:space="0"/>
              <w:right w:val="nil"/>
            </w:tcBorders>
            <w:shd w:val="clear" w:color="auto" w:fill="auto"/>
            <w:noWrap w:val="0"/>
            <w:vAlign w:val="center"/>
          </w:tcPr>
          <w:p w14:paraId="236A4E1C">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9A</w:t>
            </w:r>
          </w:p>
        </w:tc>
        <w:tc>
          <w:tcPr>
            <w:tcW w:w="1570" w:type="pct"/>
            <w:tcBorders>
              <w:top w:val="single" w:color="auto" w:sz="4" w:space="0"/>
              <w:left w:val="nil"/>
              <w:bottom w:val="single" w:color="auto" w:sz="4" w:space="0"/>
              <w:right w:val="nil"/>
            </w:tcBorders>
            <w:shd w:val="clear" w:color="auto" w:fill="auto"/>
            <w:noWrap w:val="0"/>
            <w:vAlign w:val="center"/>
          </w:tcPr>
          <w:p w14:paraId="53D05815">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@100W  Typical</w:t>
            </w:r>
          </w:p>
        </w:tc>
      </w:tr>
      <w:tr w14:paraId="2F1B7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29B3CBDA">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Gain</w:t>
            </w:r>
          </w:p>
        </w:tc>
        <w:tc>
          <w:tcPr>
            <w:tcW w:w="1553" w:type="pct"/>
            <w:tcBorders>
              <w:top w:val="single" w:color="auto" w:sz="4" w:space="0"/>
              <w:left w:val="nil"/>
              <w:bottom w:val="single" w:color="auto" w:sz="4" w:space="0"/>
              <w:right w:val="nil"/>
            </w:tcBorders>
            <w:shd w:val="clear" w:color="auto" w:fill="auto"/>
            <w:noWrap w:val="0"/>
            <w:vAlign w:val="center"/>
          </w:tcPr>
          <w:p w14:paraId="060E910C">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50±1.0dB</w:t>
            </w:r>
          </w:p>
        </w:tc>
        <w:tc>
          <w:tcPr>
            <w:tcW w:w="1570" w:type="pct"/>
            <w:tcBorders>
              <w:top w:val="single" w:color="auto" w:sz="4" w:space="0"/>
              <w:left w:val="nil"/>
              <w:bottom w:val="single" w:color="auto" w:sz="4" w:space="0"/>
              <w:right w:val="nil"/>
            </w:tcBorders>
            <w:shd w:val="clear" w:color="auto" w:fill="auto"/>
            <w:noWrap w:val="0"/>
            <w:vAlign w:val="center"/>
          </w:tcPr>
          <w:p w14:paraId="0A3AFD0D">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p>
        </w:tc>
      </w:tr>
      <w:tr w14:paraId="1B26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1C4EE3CE">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In-band Fluctuation</w:t>
            </w:r>
          </w:p>
        </w:tc>
        <w:tc>
          <w:tcPr>
            <w:tcW w:w="1553" w:type="pct"/>
            <w:tcBorders>
              <w:top w:val="single" w:color="auto" w:sz="4" w:space="0"/>
              <w:left w:val="nil"/>
              <w:bottom w:val="single" w:color="auto" w:sz="4" w:space="0"/>
              <w:right w:val="nil"/>
            </w:tcBorders>
            <w:shd w:val="clear" w:color="auto" w:fill="auto"/>
            <w:noWrap w:val="0"/>
            <w:vAlign w:val="center"/>
          </w:tcPr>
          <w:p w14:paraId="4930A54C">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±2dB</w:t>
            </w:r>
          </w:p>
        </w:tc>
        <w:tc>
          <w:tcPr>
            <w:tcW w:w="1570" w:type="pct"/>
            <w:tcBorders>
              <w:top w:val="single" w:color="auto" w:sz="4" w:space="0"/>
              <w:left w:val="nil"/>
              <w:bottom w:val="single" w:color="auto" w:sz="4" w:space="0"/>
              <w:right w:val="nil"/>
            </w:tcBorders>
            <w:shd w:val="clear" w:color="auto" w:fill="auto"/>
            <w:noWrap w:val="0"/>
            <w:vAlign w:val="center"/>
          </w:tcPr>
          <w:p w14:paraId="04233AA6">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Peak-to-peak value</w:t>
            </w:r>
          </w:p>
        </w:tc>
      </w:tr>
      <w:tr w14:paraId="6B9D6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1227E3D5">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Maximum Allowable Input Power</w:t>
            </w:r>
          </w:p>
        </w:tc>
        <w:tc>
          <w:tcPr>
            <w:tcW w:w="1553" w:type="pct"/>
            <w:tcBorders>
              <w:top w:val="single" w:color="auto" w:sz="4" w:space="0"/>
              <w:left w:val="nil"/>
              <w:bottom w:val="single" w:color="auto" w:sz="4" w:space="0"/>
              <w:right w:val="nil"/>
            </w:tcBorders>
            <w:shd w:val="clear" w:color="auto" w:fill="auto"/>
            <w:noWrap w:val="0"/>
            <w:vAlign w:val="center"/>
          </w:tcPr>
          <w:p w14:paraId="0F189FF8">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≤10dBm</w:t>
            </w:r>
          </w:p>
        </w:tc>
        <w:tc>
          <w:tcPr>
            <w:tcW w:w="1570" w:type="pct"/>
            <w:tcBorders>
              <w:top w:val="single" w:color="auto" w:sz="4" w:space="0"/>
              <w:left w:val="nil"/>
              <w:bottom w:val="single" w:color="auto" w:sz="4" w:space="0"/>
              <w:right w:val="nil"/>
            </w:tcBorders>
            <w:shd w:val="clear" w:color="auto" w:fill="auto"/>
            <w:noWrap w:val="0"/>
            <w:vAlign w:val="center"/>
          </w:tcPr>
          <w:p w14:paraId="0782A289">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Lasts 1min without damage</w:t>
            </w:r>
          </w:p>
        </w:tc>
      </w:tr>
      <w:tr w14:paraId="713FA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2B50CC7D">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Input VSWR</w:t>
            </w:r>
          </w:p>
        </w:tc>
        <w:tc>
          <w:tcPr>
            <w:tcW w:w="1553" w:type="pct"/>
            <w:tcBorders>
              <w:top w:val="single" w:color="auto" w:sz="4" w:space="0"/>
              <w:left w:val="nil"/>
              <w:bottom w:val="single" w:color="auto" w:sz="4" w:space="0"/>
              <w:right w:val="nil"/>
            </w:tcBorders>
            <w:shd w:val="clear" w:color="auto" w:fill="auto"/>
            <w:noWrap w:val="0"/>
            <w:vAlign w:val="center"/>
          </w:tcPr>
          <w:p w14:paraId="17664BF0">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≤1.50</w:t>
            </w:r>
          </w:p>
        </w:tc>
        <w:tc>
          <w:tcPr>
            <w:tcW w:w="1570" w:type="pct"/>
            <w:tcBorders>
              <w:top w:val="single" w:color="auto" w:sz="4" w:space="0"/>
              <w:left w:val="nil"/>
              <w:bottom w:val="single" w:color="auto" w:sz="4" w:space="0"/>
              <w:right w:val="nil"/>
            </w:tcBorders>
            <w:shd w:val="clear" w:color="auto" w:fill="auto"/>
            <w:noWrap w:val="0"/>
            <w:vAlign w:val="center"/>
          </w:tcPr>
          <w:p w14:paraId="19DD51D9">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Add +28V, standard network output -10dBm</w:t>
            </w:r>
          </w:p>
        </w:tc>
      </w:tr>
      <w:tr w14:paraId="1D6A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vMerge w:val="restart"/>
            <w:tcBorders>
              <w:top w:val="single" w:color="auto" w:sz="4" w:space="0"/>
              <w:left w:val="nil"/>
              <w:bottom w:val="single" w:color="auto" w:sz="4" w:space="0"/>
              <w:right w:val="nil"/>
            </w:tcBorders>
            <w:shd w:val="clear" w:color="auto" w:fill="auto"/>
            <w:noWrap w:val="0"/>
            <w:vAlign w:val="center"/>
          </w:tcPr>
          <w:p w14:paraId="6A344BE8">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Output VSWR</w:t>
            </w:r>
          </w:p>
        </w:tc>
        <w:tc>
          <w:tcPr>
            <w:tcW w:w="1553" w:type="pct"/>
            <w:tcBorders>
              <w:top w:val="single" w:color="auto" w:sz="4" w:space="0"/>
              <w:left w:val="nil"/>
              <w:bottom w:val="single" w:color="auto" w:sz="4" w:space="0"/>
              <w:right w:val="nil"/>
            </w:tcBorders>
            <w:shd w:val="clear" w:color="auto" w:fill="auto"/>
            <w:noWrap w:val="0"/>
            <w:vAlign w:val="center"/>
          </w:tcPr>
          <w:p w14:paraId="47B9BFA5">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≤1.50</w:t>
            </w:r>
          </w:p>
        </w:tc>
        <w:tc>
          <w:tcPr>
            <w:tcW w:w="1570" w:type="pct"/>
            <w:tcBorders>
              <w:top w:val="single" w:color="auto" w:sz="4" w:space="0"/>
              <w:left w:val="nil"/>
              <w:bottom w:val="single" w:color="auto" w:sz="4" w:space="0"/>
              <w:right w:val="nil"/>
            </w:tcBorders>
            <w:shd w:val="clear" w:color="auto" w:fill="auto"/>
            <w:noWrap w:val="0"/>
            <w:vAlign w:val="center"/>
          </w:tcPr>
          <w:p w14:paraId="0EB8D91E">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No power applied, standard network output -10dBm</w:t>
            </w:r>
          </w:p>
        </w:tc>
      </w:tr>
      <w:tr w14:paraId="4A8A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vMerge w:val="continue"/>
            <w:tcBorders>
              <w:top w:val="single" w:color="auto" w:sz="4" w:space="0"/>
              <w:left w:val="nil"/>
              <w:bottom w:val="single" w:color="auto" w:sz="4" w:space="0"/>
              <w:right w:val="nil"/>
            </w:tcBorders>
            <w:shd w:val="clear" w:color="auto" w:fill="auto"/>
            <w:noWrap w:val="0"/>
            <w:vAlign w:val="center"/>
          </w:tcPr>
          <w:p w14:paraId="6F7B039C">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p>
        </w:tc>
        <w:tc>
          <w:tcPr>
            <w:tcW w:w="1553" w:type="pct"/>
            <w:tcBorders>
              <w:top w:val="single" w:color="auto" w:sz="4" w:space="0"/>
              <w:left w:val="nil"/>
              <w:bottom w:val="single" w:color="auto" w:sz="4" w:space="0"/>
              <w:right w:val="nil"/>
            </w:tcBorders>
            <w:shd w:val="clear" w:color="auto" w:fill="auto"/>
            <w:noWrap w:val="0"/>
            <w:vAlign w:val="center"/>
          </w:tcPr>
          <w:p w14:paraId="65AC4BDF">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≤1.50</w:t>
            </w:r>
          </w:p>
        </w:tc>
        <w:tc>
          <w:tcPr>
            <w:tcW w:w="1570" w:type="pct"/>
            <w:tcBorders>
              <w:top w:val="single" w:color="auto" w:sz="4" w:space="0"/>
              <w:left w:val="nil"/>
              <w:bottom w:val="single" w:color="auto" w:sz="4" w:space="0"/>
              <w:right w:val="nil"/>
            </w:tcBorders>
            <w:shd w:val="clear" w:color="auto" w:fill="auto"/>
            <w:noWrap w:val="0"/>
            <w:vAlign w:val="center"/>
          </w:tcPr>
          <w:p w14:paraId="45BFEB22">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Power applied,bidirectional coupler testing</w:t>
            </w:r>
          </w:p>
        </w:tc>
      </w:tr>
      <w:tr w14:paraId="03E7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72" w:type="pct"/>
            <w:vMerge w:val="restart"/>
            <w:tcBorders>
              <w:top w:val="single" w:color="auto" w:sz="4" w:space="0"/>
              <w:left w:val="nil"/>
              <w:bottom w:val="single" w:color="auto" w:sz="4" w:space="0"/>
              <w:right w:val="nil"/>
            </w:tcBorders>
            <w:shd w:val="clear" w:color="auto" w:fill="auto"/>
            <w:noWrap w:val="0"/>
            <w:vAlign w:val="center"/>
          </w:tcPr>
          <w:p w14:paraId="1362B324">
            <w:pPr>
              <w:keepNext/>
              <w:keepLines/>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Temperature Test</w:t>
            </w:r>
          </w:p>
        </w:tc>
        <w:tc>
          <w:tcPr>
            <w:tcW w:w="803" w:type="pct"/>
            <w:gridSpan w:val="2"/>
            <w:tcBorders>
              <w:top w:val="single" w:color="auto" w:sz="4" w:space="0"/>
              <w:left w:val="nil"/>
              <w:bottom w:val="single" w:color="auto" w:sz="4" w:space="0"/>
              <w:right w:val="nil"/>
            </w:tcBorders>
            <w:shd w:val="clear" w:color="auto" w:fill="auto"/>
            <w:noWrap w:val="0"/>
            <w:vAlign w:val="center"/>
          </w:tcPr>
          <w:p w14:paraId="035BC7B3">
            <w:pPr>
              <w:keepNext/>
              <w:keepLines/>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Operating Environment Temperature (°C)</w:t>
            </w:r>
          </w:p>
        </w:tc>
        <w:tc>
          <w:tcPr>
            <w:tcW w:w="1553" w:type="pct"/>
            <w:tcBorders>
              <w:top w:val="single" w:color="auto" w:sz="4" w:space="0"/>
              <w:left w:val="nil"/>
              <w:bottom w:val="single" w:color="auto" w:sz="4" w:space="0"/>
              <w:right w:val="nil"/>
            </w:tcBorders>
            <w:shd w:val="clear" w:color="auto" w:fill="auto"/>
            <w:noWrap w:val="0"/>
            <w:vAlign w:val="center"/>
          </w:tcPr>
          <w:p w14:paraId="2C307734">
            <w:pPr>
              <w:keepNext/>
              <w:keepLines/>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-10～+55℃</w:t>
            </w:r>
          </w:p>
        </w:tc>
        <w:tc>
          <w:tcPr>
            <w:tcW w:w="1570" w:type="pct"/>
            <w:vMerge w:val="restart"/>
            <w:tcBorders>
              <w:top w:val="single" w:color="auto" w:sz="4" w:space="0"/>
              <w:left w:val="nil"/>
              <w:bottom w:val="single" w:color="auto" w:sz="4" w:space="0"/>
              <w:right w:val="nil"/>
            </w:tcBorders>
            <w:shd w:val="clear" w:color="auto" w:fill="auto"/>
            <w:noWrap w:val="0"/>
            <w:vAlign w:val="center"/>
          </w:tcPr>
          <w:p w14:paraId="60480A8D">
            <w:pPr>
              <w:keepNext/>
              <w:keepLines/>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Low-temperature startup, monitoring functions properly</w:t>
            </w:r>
          </w:p>
        </w:tc>
      </w:tr>
      <w:tr w14:paraId="2B24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72" w:type="pct"/>
            <w:vMerge w:val="continue"/>
            <w:tcBorders>
              <w:top w:val="single" w:color="auto" w:sz="4" w:space="0"/>
              <w:left w:val="nil"/>
              <w:bottom w:val="single" w:color="auto" w:sz="4" w:space="0"/>
              <w:right w:val="nil"/>
            </w:tcBorders>
            <w:shd w:val="clear" w:color="auto" w:fill="auto"/>
            <w:noWrap w:val="0"/>
            <w:vAlign w:val="center"/>
          </w:tcPr>
          <w:p w14:paraId="3A0914BE">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p>
        </w:tc>
        <w:tc>
          <w:tcPr>
            <w:tcW w:w="803" w:type="pct"/>
            <w:gridSpan w:val="2"/>
            <w:tcBorders>
              <w:top w:val="single" w:color="auto" w:sz="4" w:space="0"/>
              <w:left w:val="nil"/>
              <w:bottom w:val="single" w:color="auto" w:sz="4" w:space="0"/>
              <w:right w:val="nil"/>
            </w:tcBorders>
            <w:shd w:val="clear" w:color="auto" w:fill="auto"/>
            <w:noWrap w:val="0"/>
            <w:vAlign w:val="center"/>
          </w:tcPr>
          <w:p w14:paraId="1D7DFC77">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Gain Stability</w:t>
            </w:r>
          </w:p>
        </w:tc>
        <w:tc>
          <w:tcPr>
            <w:tcW w:w="1553" w:type="pct"/>
            <w:tcBorders>
              <w:top w:val="single" w:color="auto" w:sz="4" w:space="0"/>
              <w:left w:val="nil"/>
              <w:bottom w:val="single" w:color="auto" w:sz="4" w:space="0"/>
              <w:right w:val="nil"/>
            </w:tcBorders>
            <w:shd w:val="clear" w:color="auto" w:fill="auto"/>
            <w:noWrap w:val="0"/>
            <w:vAlign w:val="center"/>
          </w:tcPr>
          <w:p w14:paraId="35C3B718">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±1.5dB@-10℃～+55℃</w:t>
            </w:r>
          </w:p>
        </w:tc>
        <w:tc>
          <w:tcPr>
            <w:tcW w:w="1570" w:type="pct"/>
            <w:vMerge w:val="continue"/>
            <w:tcBorders>
              <w:top w:val="single" w:color="auto" w:sz="4" w:space="0"/>
              <w:left w:val="nil"/>
              <w:bottom w:val="single" w:color="auto" w:sz="4" w:space="0"/>
              <w:right w:val="nil"/>
            </w:tcBorders>
            <w:shd w:val="clear" w:color="auto" w:fill="auto"/>
            <w:noWrap w:val="0"/>
            <w:vAlign w:val="center"/>
          </w:tcPr>
          <w:p w14:paraId="31B4C813">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p>
        </w:tc>
      </w:tr>
      <w:tr w14:paraId="3471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72" w:type="pct"/>
            <w:vMerge w:val="continue"/>
            <w:tcBorders>
              <w:top w:val="single" w:color="auto" w:sz="4" w:space="0"/>
              <w:left w:val="nil"/>
              <w:bottom w:val="single" w:color="auto" w:sz="4" w:space="0"/>
              <w:right w:val="nil"/>
            </w:tcBorders>
            <w:shd w:val="clear" w:color="auto" w:fill="auto"/>
            <w:noWrap w:val="0"/>
            <w:vAlign w:val="center"/>
          </w:tcPr>
          <w:p w14:paraId="2EA43E45">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p>
        </w:tc>
        <w:tc>
          <w:tcPr>
            <w:tcW w:w="803" w:type="pct"/>
            <w:gridSpan w:val="2"/>
            <w:tcBorders>
              <w:top w:val="single" w:color="auto" w:sz="4" w:space="0"/>
              <w:left w:val="nil"/>
              <w:bottom w:val="single" w:color="auto" w:sz="4" w:space="0"/>
              <w:right w:val="nil"/>
            </w:tcBorders>
            <w:shd w:val="clear" w:color="auto" w:fill="auto"/>
            <w:noWrap w:val="0"/>
            <w:vAlign w:val="center"/>
          </w:tcPr>
          <w:p w14:paraId="10EA1E68">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Power Stability</w:t>
            </w:r>
          </w:p>
        </w:tc>
        <w:tc>
          <w:tcPr>
            <w:tcW w:w="1553" w:type="pct"/>
            <w:tcBorders>
              <w:top w:val="single" w:color="auto" w:sz="4" w:space="0"/>
              <w:left w:val="nil"/>
              <w:bottom w:val="single" w:color="auto" w:sz="4" w:space="0"/>
              <w:right w:val="nil"/>
            </w:tcBorders>
            <w:shd w:val="clear" w:color="auto" w:fill="auto"/>
            <w:noWrap w:val="0"/>
            <w:vAlign w:val="center"/>
          </w:tcPr>
          <w:p w14:paraId="101EEAAE">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±1.5dB@-10℃～+55℃</w:t>
            </w:r>
          </w:p>
        </w:tc>
        <w:tc>
          <w:tcPr>
            <w:tcW w:w="1570" w:type="pct"/>
            <w:vMerge w:val="continue"/>
            <w:tcBorders>
              <w:top w:val="single" w:color="auto" w:sz="4" w:space="0"/>
              <w:left w:val="nil"/>
              <w:bottom w:val="single" w:color="auto" w:sz="4" w:space="0"/>
              <w:right w:val="nil"/>
            </w:tcBorders>
            <w:shd w:val="clear" w:color="auto" w:fill="auto"/>
            <w:noWrap w:val="0"/>
            <w:vAlign w:val="center"/>
          </w:tcPr>
          <w:p w14:paraId="3BCE3109">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p>
        </w:tc>
      </w:tr>
      <w:tr w14:paraId="1F4B5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45BF2348">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Power Requirements</w:t>
            </w:r>
          </w:p>
        </w:tc>
        <w:tc>
          <w:tcPr>
            <w:tcW w:w="1553" w:type="pct"/>
            <w:tcBorders>
              <w:top w:val="single" w:color="auto" w:sz="4" w:space="0"/>
              <w:left w:val="nil"/>
              <w:bottom w:val="single" w:color="auto" w:sz="4" w:space="0"/>
              <w:right w:val="nil"/>
            </w:tcBorders>
            <w:shd w:val="clear" w:color="auto" w:fill="auto"/>
            <w:noWrap w:val="0"/>
            <w:vAlign w:val="center"/>
          </w:tcPr>
          <w:p w14:paraId="56FBEA68">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≥9A @+28Vdc；</w:t>
            </w:r>
          </w:p>
        </w:tc>
        <w:tc>
          <w:tcPr>
            <w:tcW w:w="1570" w:type="pct"/>
            <w:tcBorders>
              <w:top w:val="single" w:color="auto" w:sz="4" w:space="0"/>
              <w:left w:val="nil"/>
              <w:bottom w:val="single" w:color="auto" w:sz="4" w:space="0"/>
              <w:right w:val="nil"/>
            </w:tcBorders>
            <w:shd w:val="clear" w:color="auto" w:fill="auto"/>
            <w:noWrap w:val="0"/>
            <w:vAlign w:val="center"/>
          </w:tcPr>
          <w:p w14:paraId="6E63D730">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Continuous wave output of 100W</w:t>
            </w:r>
          </w:p>
        </w:tc>
      </w:tr>
      <w:tr w14:paraId="59CA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73" w:type="pct"/>
            <w:gridSpan w:val="2"/>
            <w:tcBorders>
              <w:top w:val="single" w:color="auto" w:sz="4" w:space="0"/>
              <w:left w:val="nil"/>
              <w:bottom w:val="single" w:color="auto" w:sz="4" w:space="0"/>
              <w:right w:val="nil"/>
            </w:tcBorders>
            <w:shd w:val="clear" w:color="auto" w:fill="auto"/>
            <w:noWrap w:val="0"/>
            <w:vAlign w:val="center"/>
          </w:tcPr>
          <w:p w14:paraId="066B349F">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Power supply, control interface 7W2</w:t>
            </w:r>
          </w:p>
        </w:tc>
        <w:tc>
          <w:tcPr>
            <w:tcW w:w="3526" w:type="pct"/>
            <w:gridSpan w:val="3"/>
            <w:tcBorders>
              <w:top w:val="single" w:color="auto" w:sz="4" w:space="0"/>
              <w:left w:val="nil"/>
              <w:bottom w:val="single" w:color="auto" w:sz="4" w:space="0"/>
              <w:right w:val="nil"/>
            </w:tcBorders>
            <w:shd w:val="clear" w:color="auto" w:fill="auto"/>
            <w:noWrap w:val="0"/>
            <w:vAlign w:val="center"/>
          </w:tcPr>
          <w:p w14:paraId="765929F5">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A1: VCC+28V; A2: GND</w:t>
            </w:r>
          </w:p>
          <w:p w14:paraId="229B520E">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1: TEMP_AL: Temperature detection AD voltage</w:t>
            </w:r>
          </w:p>
          <w:p w14:paraId="0932736B">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2: RUN: Forward power detection AD voltage</w:t>
            </w:r>
          </w:p>
          <w:p w14:paraId="78EC50C9">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 xml:space="preserve">3: VSWR_AL: VSWR alarm, high level for alarm, low level for normal operation </w:t>
            </w:r>
          </w:p>
          <w:p w14:paraId="3381FD7E">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default"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4: PA_EN: Enable switch; high level 3V</w:t>
            </w:r>
            <w:r>
              <w:rPr>
                <w:rFonts w:hint="default" w:ascii="Arial" w:hAnsi="Arial" w:eastAsia="黑体" w:cs="Cambria"/>
                <w:b w:val="0"/>
                <w:bCs/>
                <w:snapToGrid w:val="0"/>
                <w:color w:val="auto"/>
                <w:sz w:val="21"/>
                <w:szCs w:val="21"/>
                <w:lang w:val="en-US" w:eastAsia="zh-CN"/>
              </w:rPr>
              <w:t xml:space="preserve">5V to turn on, low level &lt;2V to turn off </w:t>
            </w:r>
          </w:p>
          <w:p w14:paraId="19F5634A">
            <w:pPr>
              <w:keepNext w:val="0"/>
              <w:keepLines w:val="0"/>
              <w:pageBreakBefore w:val="0"/>
              <w:numPr>
                <w:ilvl w:val="0"/>
                <w:numId w:val="0"/>
              </w:numPr>
              <w:kinsoku/>
              <w:wordWrap/>
              <w:overflowPunct/>
              <w:topLinePunct w:val="0"/>
              <w:autoSpaceDE/>
              <w:autoSpaceDN/>
              <w:bidi w:val="0"/>
              <w:adjustRightInd/>
              <w:snapToGrid w:val="0"/>
              <w:spacing w:line="240" w:lineRule="auto"/>
              <w:jc w:val="left"/>
              <w:rPr>
                <w:rFonts w:hint="default" w:ascii="Arial" w:hAnsi="Arial" w:eastAsia="黑体" w:cs="Cambria"/>
                <w:b w:val="0"/>
                <w:bCs/>
                <w:snapToGrid w:val="0"/>
                <w:color w:val="auto"/>
                <w:sz w:val="21"/>
                <w:szCs w:val="21"/>
                <w:lang w:val="en-US" w:eastAsia="zh-CN"/>
              </w:rPr>
            </w:pPr>
            <w:r>
              <w:rPr>
                <w:rFonts w:hint="default" w:ascii="Arial" w:hAnsi="Arial" w:eastAsia="黑体" w:cs="Cambria"/>
                <w:b w:val="0"/>
                <w:bCs/>
                <w:snapToGrid w:val="0"/>
                <w:color w:val="auto"/>
                <w:sz w:val="21"/>
                <w:szCs w:val="21"/>
                <w:lang w:val="en-US" w:eastAsia="zh-CN"/>
              </w:rPr>
              <w:t xml:space="preserve">5: PA_ADJ: </w:t>
            </w:r>
            <w:r>
              <w:rPr>
                <w:rFonts w:hint="eastAsia" w:ascii="Arial" w:hAnsi="Arial" w:eastAsia="黑体" w:cs="Cambria"/>
                <w:b w:val="0"/>
                <w:bCs/>
                <w:snapToGrid w:val="0"/>
                <w:color w:val="auto"/>
                <w:sz w:val="21"/>
                <w:szCs w:val="21"/>
                <w:lang w:val="en-US" w:eastAsia="zh-CN"/>
              </w:rPr>
              <w:t>NC</w:t>
            </w:r>
          </w:p>
        </w:tc>
      </w:tr>
      <w:tr w14:paraId="4153E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010CC9AB">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RF output connector</w:t>
            </w:r>
          </w:p>
        </w:tc>
        <w:tc>
          <w:tcPr>
            <w:tcW w:w="3123" w:type="pct"/>
            <w:gridSpan w:val="2"/>
            <w:tcBorders>
              <w:top w:val="single" w:color="auto" w:sz="4" w:space="0"/>
              <w:left w:val="nil"/>
              <w:bottom w:val="single" w:color="auto" w:sz="4" w:space="0"/>
              <w:right w:val="nil"/>
            </w:tcBorders>
            <w:shd w:val="clear" w:color="auto" w:fill="auto"/>
            <w:noWrap w:val="0"/>
            <w:vAlign w:val="center"/>
          </w:tcPr>
          <w:p w14:paraId="7FDBC5FE">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 xml:space="preserve">N-F </w:t>
            </w:r>
          </w:p>
        </w:tc>
      </w:tr>
      <w:tr w14:paraId="7B9A0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3C93681F">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Module Protection</w:t>
            </w:r>
          </w:p>
        </w:tc>
        <w:tc>
          <w:tcPr>
            <w:tcW w:w="3123" w:type="pct"/>
            <w:gridSpan w:val="2"/>
            <w:tcBorders>
              <w:top w:val="single" w:color="auto" w:sz="4" w:space="0"/>
              <w:left w:val="nil"/>
              <w:bottom w:val="single" w:color="auto" w:sz="4" w:space="0"/>
              <w:right w:val="nil"/>
            </w:tcBorders>
            <w:shd w:val="clear" w:color="auto" w:fill="auto"/>
            <w:noWrap w:val="0"/>
            <w:vAlign w:val="center"/>
          </w:tcPr>
          <w:p w14:paraId="7FCE3A49">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Temperature compensation；</w:t>
            </w:r>
          </w:p>
          <w:p w14:paraId="5C24D7D7">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Over-temperature protection；</w:t>
            </w:r>
          </w:p>
          <w:p w14:paraId="5C7ED2F5">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VSWR protection</w:t>
            </w:r>
          </w:p>
        </w:tc>
      </w:tr>
      <w:tr w14:paraId="3BC8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56D70321">
            <w:pPr>
              <w:keepNext w:val="0"/>
              <w:keepLines w:val="0"/>
              <w:pageBreakBefore w:val="0"/>
              <w:widowControl/>
              <w:suppressLineNumbers w:val="0"/>
              <w:kinsoku/>
              <w:wordWrap/>
              <w:overflowPunct/>
              <w:topLinePunct w:val="0"/>
              <w:autoSpaceDE/>
              <w:autoSpaceDN/>
              <w:bidi w:val="0"/>
              <w:adjustRightInd/>
              <w:snapToGrid w:val="0"/>
              <w:jc w:val="center"/>
              <w:textAlignment w:val="top"/>
              <w:rPr>
                <w:rFonts w:hint="eastAsia" w:ascii="Arial" w:hAnsi="Arial" w:eastAsia="黑体" w:cs="Cambria"/>
                <w:b/>
                <w:bCs w:val="0"/>
                <w:snapToGrid w:val="0"/>
                <w:color w:val="auto"/>
                <w:sz w:val="21"/>
                <w:szCs w:val="21"/>
                <w:lang w:val="en-US" w:eastAsia="zh-CN"/>
              </w:rPr>
            </w:pPr>
            <w:r>
              <w:rPr>
                <w:rFonts w:hint="eastAsia" w:ascii="Arial" w:hAnsi="Arial" w:eastAsia="黑体" w:cs="Cambria"/>
                <w:b/>
                <w:bCs w:val="0"/>
                <w:snapToGrid w:val="0"/>
                <w:color w:val="auto"/>
                <w:sz w:val="21"/>
                <w:szCs w:val="21"/>
                <w:lang w:val="en-US" w:eastAsia="zh-CN"/>
              </w:rPr>
              <w:t>Signal Source Input</w:t>
            </w:r>
          </w:p>
        </w:tc>
        <w:tc>
          <w:tcPr>
            <w:tcW w:w="3123" w:type="pct"/>
            <w:gridSpan w:val="2"/>
            <w:tcBorders>
              <w:top w:val="single" w:color="auto" w:sz="4" w:space="0"/>
              <w:left w:val="nil"/>
              <w:bottom w:val="single" w:color="auto" w:sz="4" w:space="0"/>
              <w:right w:val="nil"/>
            </w:tcBorders>
            <w:shd w:val="clear" w:color="auto" w:fill="auto"/>
            <w:noWrap w:val="0"/>
            <w:vAlign w:val="center"/>
          </w:tcPr>
          <w:p w14:paraId="7DE53F10">
            <w:pPr>
              <w:keepNext w:val="0"/>
              <w:keepLines w:val="0"/>
              <w:pageBreakBefore w:val="0"/>
              <w:numPr>
                <w:ilvl w:val="0"/>
                <w:numId w:val="0"/>
              </w:numPr>
              <w:kinsoku/>
              <w:wordWrap/>
              <w:overflowPunct/>
              <w:topLinePunct w:val="0"/>
              <w:autoSpaceDE/>
              <w:autoSpaceDN/>
              <w:bidi w:val="0"/>
              <w:adjustRightInd/>
              <w:snapToGrid w:val="0"/>
              <w:spacing w:line="240" w:lineRule="auto"/>
              <w:jc w:val="center"/>
              <w:rPr>
                <w:rFonts w:hint="eastAsia" w:ascii="Arial" w:hAnsi="Arial" w:eastAsia="黑体" w:cs="Cambria"/>
                <w:b w:val="0"/>
                <w:bCs/>
                <w:snapToGrid w:val="0"/>
                <w:color w:val="auto"/>
                <w:sz w:val="21"/>
                <w:szCs w:val="21"/>
                <w:lang w:val="en-US" w:eastAsia="zh-CN"/>
              </w:rPr>
            </w:pPr>
            <w:r>
              <w:rPr>
                <w:rFonts w:hint="eastAsia" w:ascii="Arial" w:hAnsi="Arial" w:eastAsia="黑体" w:cs="Cambria"/>
                <w:b w:val="0"/>
                <w:bCs/>
                <w:snapToGrid w:val="0"/>
                <w:color w:val="auto"/>
                <w:sz w:val="21"/>
                <w:szCs w:val="21"/>
                <w:lang w:val="en-US" w:eastAsia="zh-CN"/>
              </w:rPr>
              <w:t>Built-in high-speed noise modulation signal source</w:t>
            </w:r>
          </w:p>
        </w:tc>
      </w:tr>
      <w:tr w14:paraId="267DB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876" w:type="pct"/>
            <w:gridSpan w:val="3"/>
            <w:tcBorders>
              <w:top w:val="single" w:color="auto" w:sz="4" w:space="0"/>
              <w:left w:val="nil"/>
              <w:bottom w:val="single" w:color="auto" w:sz="4" w:space="0"/>
              <w:right w:val="nil"/>
            </w:tcBorders>
            <w:shd w:val="clear" w:color="auto" w:fill="auto"/>
            <w:noWrap w:val="0"/>
            <w:vAlign w:val="center"/>
          </w:tcPr>
          <w:p w14:paraId="1F0CE74F">
            <w:pPr>
              <w:keepNext w:val="0"/>
              <w:keepLines w:val="0"/>
              <w:pageBreakBefore w:val="0"/>
              <w:widowControl/>
              <w:suppressLineNumbers w:val="0"/>
              <w:kinsoku/>
              <w:wordWrap/>
              <w:overflowPunct/>
              <w:topLinePunct w:val="0"/>
              <w:autoSpaceDE/>
              <w:autoSpaceDN/>
              <w:bidi w:val="0"/>
              <w:adjustRightInd/>
              <w:snapToGrid w:val="0"/>
              <w:jc w:val="center"/>
              <w:textAlignment w:val="top"/>
              <w:rPr>
                <w:rStyle w:val="6"/>
                <w:rFonts w:hint="eastAsia" w:ascii="Arial" w:hAnsi="Arial" w:eastAsia="思源黑体 CN Heavy" w:cs="思源黑体 CN Heavy"/>
                <w:b w:val="0"/>
                <w:bCs w:val="0"/>
                <w:snapToGrid w:val="0"/>
                <w:color w:val="auto"/>
                <w:sz w:val="21"/>
                <w:szCs w:val="21"/>
                <w:lang w:val="en-US" w:eastAsia="zh-CN" w:bidi="ar"/>
              </w:rPr>
            </w:pPr>
            <w:r>
              <w:rPr>
                <w:rFonts w:hint="eastAsia" w:ascii="Arial" w:hAnsi="Arial" w:eastAsia="黑体" w:cs="Cambria"/>
                <w:b/>
                <w:bCs w:val="0"/>
                <w:snapToGrid w:val="0"/>
                <w:color w:val="auto"/>
                <w:sz w:val="21"/>
                <w:szCs w:val="21"/>
                <w:lang w:val="en-US" w:eastAsia="zh-CN"/>
              </w:rPr>
              <w:t>LED Module Indicators</w:t>
            </w:r>
          </w:p>
        </w:tc>
        <w:tc>
          <w:tcPr>
            <w:tcW w:w="3123" w:type="pct"/>
            <w:gridSpan w:val="2"/>
            <w:tcBorders>
              <w:top w:val="single" w:color="auto" w:sz="4" w:space="0"/>
              <w:left w:val="nil"/>
              <w:bottom w:val="single" w:color="auto" w:sz="4" w:space="0"/>
              <w:right w:val="nil"/>
            </w:tcBorders>
            <w:shd w:val="clear" w:color="auto" w:fill="auto"/>
            <w:noWrap w:val="0"/>
            <w:vAlign w:val="center"/>
          </w:tcPr>
          <w:p w14:paraId="1B11E42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Arial" w:hAnsi="Arial" w:eastAsia="思源黑体 CN Medium" w:cs="思源黑体 CN Medium"/>
                <w:i w:val="0"/>
                <w:iCs w:val="0"/>
                <w:snapToGrid w:val="0"/>
                <w:color w:val="auto"/>
                <w:sz w:val="21"/>
                <w:szCs w:val="21"/>
                <w:u w:val="none"/>
              </w:rPr>
            </w:pPr>
            <w:r>
              <w:rPr>
                <w:rFonts w:hint="eastAsia" w:ascii="Arial" w:hAnsi="Arial" w:eastAsia="黑体" w:cs="Cambria"/>
                <w:b w:val="0"/>
                <w:bCs/>
                <w:snapToGrid w:val="0"/>
                <w:color w:val="auto"/>
                <w:sz w:val="21"/>
                <w:szCs w:val="21"/>
                <w:lang w:val="en-US" w:eastAsia="zh-CN"/>
              </w:rPr>
              <w:t>POWER: Power indicator；RUN: Power operation indicator；VSWR: VSWR alarm indicator</w:t>
            </w:r>
          </w:p>
        </w:tc>
      </w:tr>
    </w:tbl>
    <w:p w14:paraId="15FC1C0E">
      <w:pPr>
        <w:rPr>
          <w:rFonts w:hint="eastAsia" w:ascii="Arial" w:hAnsi="Arial" w:cs="Times New Roman"/>
          <w:b/>
          <w:color w:val="auto"/>
          <w:sz w:val="30"/>
          <w:szCs w:val="30"/>
          <w:lang w:val="en-US" w:eastAsia="zh-CN"/>
        </w:rPr>
      </w:pPr>
      <w:r>
        <w:rPr>
          <w:rFonts w:hint="eastAsia" w:ascii="Arial" w:hAnsi="Arial" w:cs="Times New Roman"/>
          <w:b/>
          <w:color w:val="auto"/>
          <w:sz w:val="30"/>
          <w:szCs w:val="30"/>
          <w:lang w:val="en-US" w:eastAsia="zh-CN"/>
        </w:rPr>
        <w:br w:type="page"/>
      </w:r>
    </w:p>
    <w:p w14:paraId="473E2B70">
      <w:pPr>
        <w:keepNext w:val="0"/>
        <w:keepLines w:val="0"/>
        <w:pageBreakBefore w:val="0"/>
        <w:numPr>
          <w:ilvl w:val="0"/>
          <w:numId w:val="0"/>
        </w:numPr>
        <w:kinsoku/>
        <w:wordWrap/>
        <w:overflowPunct/>
        <w:topLinePunct w:val="0"/>
        <w:autoSpaceDE/>
        <w:autoSpaceDN/>
        <w:bidi w:val="0"/>
        <w:adjustRightInd/>
        <w:snapToGrid w:val="0"/>
        <w:spacing w:line="360" w:lineRule="auto"/>
        <w:ind w:leftChars="0"/>
        <w:rPr>
          <w:rFonts w:hint="eastAsia" w:ascii="Arial" w:hAnsi="Arial" w:cs="Times New Roman"/>
          <w:b/>
          <w:color w:val="auto"/>
          <w:sz w:val="30"/>
          <w:szCs w:val="30"/>
          <w:lang w:val="en-US" w:eastAsia="zh-CN"/>
        </w:rPr>
      </w:pPr>
      <w:r>
        <w:rPr>
          <w:rFonts w:hint="eastAsia" w:ascii="Arial" w:hAnsi="Arial" w:cs="Times New Roman"/>
          <w:b/>
          <w:color w:val="auto"/>
          <w:sz w:val="30"/>
          <w:szCs w:val="30"/>
          <w:lang w:val="en-US" w:eastAsia="zh-CN"/>
        </w:rPr>
        <w:t>Produce Range</w:t>
      </w:r>
      <w:bookmarkStart w:id="0" w:name="_GoBack"/>
      <w:bookmarkEnd w:id="0"/>
    </w:p>
    <w:tbl>
      <w:tblPr>
        <w:tblStyle w:val="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8"/>
        <w:gridCol w:w="3479"/>
        <w:gridCol w:w="2997"/>
      </w:tblGrid>
      <w:tr w14:paraId="71035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1747" w:type="pct"/>
            <w:tcBorders>
              <w:top w:val="single" w:color="auto" w:sz="4" w:space="0"/>
              <w:left w:val="nil"/>
              <w:bottom w:val="single" w:color="auto" w:sz="4" w:space="0"/>
              <w:right w:val="nil"/>
            </w:tcBorders>
            <w:shd w:val="clear" w:color="auto" w:fill="auto"/>
            <w:noWrap w:val="0"/>
            <w:vAlign w:val="center"/>
          </w:tcPr>
          <w:p w14:paraId="00566141">
            <w:pPr>
              <w:widowControl/>
              <w:snapToGrid w:val="0"/>
              <w:jc w:val="center"/>
              <w:textAlignment w:val="top"/>
              <w:rPr>
                <w:rStyle w:val="6"/>
                <w:rFonts w:hint="eastAsia" w:ascii="Arial" w:hAnsi="Arial" w:eastAsia="黑体" w:cs="黑体"/>
                <w:b/>
                <w:bCs/>
                <w:color w:val="auto"/>
                <w:lang w:val="en-US" w:eastAsia="zh-CN" w:bidi="ar"/>
              </w:rPr>
            </w:pPr>
            <w:r>
              <w:rPr>
                <w:rStyle w:val="6"/>
                <w:rFonts w:hint="eastAsia" w:ascii="Arial" w:hAnsi="Arial" w:eastAsia="黑体" w:cs="思源黑体 CN Heavy"/>
                <w:b/>
                <w:bCs/>
                <w:color w:val="auto"/>
                <w:sz w:val="28"/>
                <w:szCs w:val="28"/>
                <w:lang w:val="en-US" w:eastAsia="zh-CN" w:bidi="ar"/>
              </w:rPr>
              <w:t>Supported Frequency Range (MHz)</w:t>
            </w:r>
          </w:p>
        </w:tc>
        <w:tc>
          <w:tcPr>
            <w:tcW w:w="1747" w:type="pct"/>
            <w:tcBorders>
              <w:top w:val="single" w:color="auto" w:sz="4" w:space="0"/>
              <w:left w:val="nil"/>
              <w:bottom w:val="single" w:color="auto" w:sz="4" w:space="0"/>
              <w:right w:val="nil"/>
            </w:tcBorders>
            <w:shd w:val="clear" w:color="auto" w:fill="auto"/>
            <w:noWrap w:val="0"/>
            <w:vAlign w:val="center"/>
          </w:tcPr>
          <w:p w14:paraId="7A0122D7">
            <w:pPr>
              <w:widowControl/>
              <w:snapToGrid w:val="0"/>
              <w:jc w:val="center"/>
              <w:textAlignment w:val="top"/>
              <w:rPr>
                <w:rStyle w:val="6"/>
                <w:rFonts w:hint="eastAsia" w:ascii="Arial" w:hAnsi="Arial" w:eastAsia="黑体" w:cs="黑体"/>
                <w:b/>
                <w:bCs/>
                <w:color w:val="auto"/>
                <w:lang w:val="en-US" w:eastAsia="zh-CN" w:bidi="ar"/>
              </w:rPr>
            </w:pPr>
            <w:r>
              <w:rPr>
                <w:rStyle w:val="6"/>
                <w:rFonts w:hint="eastAsia" w:ascii="Arial" w:hAnsi="Arial" w:eastAsia="黑体" w:cs="思源黑体 CN Heavy"/>
                <w:b/>
                <w:bCs/>
                <w:color w:val="auto"/>
                <w:sz w:val="28"/>
                <w:szCs w:val="28"/>
                <w:lang w:val="en-US" w:eastAsia="zh-CN" w:bidi="ar"/>
              </w:rPr>
              <w:t>Max Bandwidth (MHz)</w:t>
            </w:r>
          </w:p>
        </w:tc>
        <w:tc>
          <w:tcPr>
            <w:tcW w:w="1505" w:type="pct"/>
            <w:tcBorders>
              <w:top w:val="single" w:color="auto" w:sz="4" w:space="0"/>
              <w:left w:val="nil"/>
              <w:bottom w:val="single" w:color="auto" w:sz="4" w:space="0"/>
              <w:right w:val="nil"/>
            </w:tcBorders>
            <w:shd w:val="clear" w:color="auto" w:fill="auto"/>
            <w:noWrap w:val="0"/>
            <w:vAlign w:val="center"/>
          </w:tcPr>
          <w:p w14:paraId="5C8BC169">
            <w:pPr>
              <w:widowControl/>
              <w:snapToGrid w:val="0"/>
              <w:jc w:val="center"/>
              <w:textAlignment w:val="top"/>
              <w:rPr>
                <w:rStyle w:val="6"/>
                <w:rFonts w:hint="eastAsia" w:ascii="Arial" w:hAnsi="Arial" w:eastAsia="黑体" w:cs="黑体"/>
                <w:b/>
                <w:bCs/>
                <w:color w:val="auto"/>
                <w:lang w:val="en-US" w:eastAsia="zh-CN" w:bidi="ar"/>
              </w:rPr>
            </w:pPr>
            <w:r>
              <w:rPr>
                <w:rStyle w:val="6"/>
                <w:rFonts w:hint="eastAsia" w:ascii="Arial" w:hAnsi="Arial" w:eastAsia="黑体" w:cs="思源黑体 CN Heavy"/>
                <w:b/>
                <w:bCs/>
                <w:color w:val="auto"/>
                <w:sz w:val="28"/>
                <w:szCs w:val="28"/>
                <w:lang w:val="en-US" w:eastAsia="zh-CN" w:bidi="ar"/>
              </w:rPr>
              <w:t>Max Power (W)</w:t>
            </w:r>
          </w:p>
        </w:tc>
      </w:tr>
      <w:tr w14:paraId="7BFE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5C3C6B04">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700-830</w:t>
            </w:r>
          </w:p>
        </w:tc>
        <w:tc>
          <w:tcPr>
            <w:tcW w:w="3479" w:type="dxa"/>
            <w:tcBorders>
              <w:top w:val="single" w:color="auto" w:sz="4" w:space="0"/>
              <w:left w:val="nil"/>
              <w:bottom w:val="single" w:color="auto" w:sz="4" w:space="0"/>
              <w:right w:val="nil"/>
            </w:tcBorders>
            <w:shd w:val="clear" w:color="auto" w:fill="auto"/>
            <w:noWrap w:val="0"/>
            <w:vAlign w:val="center"/>
          </w:tcPr>
          <w:p w14:paraId="79113A2A">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130</w:t>
            </w:r>
          </w:p>
        </w:tc>
        <w:tc>
          <w:tcPr>
            <w:tcW w:w="2997" w:type="dxa"/>
            <w:tcBorders>
              <w:top w:val="single" w:color="auto" w:sz="4" w:space="0"/>
              <w:left w:val="nil"/>
              <w:bottom w:val="single" w:color="auto" w:sz="4" w:space="0"/>
              <w:right w:val="nil"/>
            </w:tcBorders>
            <w:shd w:val="clear" w:color="auto" w:fill="auto"/>
            <w:noWrap w:val="0"/>
            <w:vAlign w:val="center"/>
          </w:tcPr>
          <w:p w14:paraId="0AD21F76">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150W</w:t>
            </w:r>
          </w:p>
        </w:tc>
      </w:tr>
      <w:tr w14:paraId="15DF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19A05C30">
            <w:pPr>
              <w:keepNext w:val="0"/>
              <w:keepLines w:val="0"/>
              <w:widowControl/>
              <w:suppressLineNumbers w:val="0"/>
              <w:jc w:val="center"/>
              <w:textAlignment w:val="center"/>
              <w:rPr>
                <w:rStyle w:val="6"/>
                <w:rFonts w:hint="eastAsia"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830-1000</w:t>
            </w:r>
          </w:p>
        </w:tc>
        <w:tc>
          <w:tcPr>
            <w:tcW w:w="3479" w:type="dxa"/>
            <w:tcBorders>
              <w:top w:val="single" w:color="auto" w:sz="4" w:space="0"/>
              <w:left w:val="nil"/>
              <w:bottom w:val="single" w:color="auto" w:sz="4" w:space="0"/>
              <w:right w:val="nil"/>
            </w:tcBorders>
            <w:shd w:val="clear" w:color="auto" w:fill="auto"/>
            <w:noWrap w:val="0"/>
            <w:vAlign w:val="center"/>
          </w:tcPr>
          <w:p w14:paraId="5FCA7876">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170</w:t>
            </w:r>
          </w:p>
        </w:tc>
        <w:tc>
          <w:tcPr>
            <w:tcW w:w="2997" w:type="dxa"/>
            <w:tcBorders>
              <w:top w:val="single" w:color="auto" w:sz="4" w:space="0"/>
              <w:left w:val="nil"/>
              <w:bottom w:val="single" w:color="auto" w:sz="4" w:space="0"/>
              <w:right w:val="nil"/>
            </w:tcBorders>
            <w:shd w:val="clear" w:color="auto" w:fill="auto"/>
            <w:noWrap w:val="0"/>
            <w:vAlign w:val="center"/>
          </w:tcPr>
          <w:p w14:paraId="34BFEC61">
            <w:pPr>
              <w:keepNext w:val="0"/>
              <w:keepLines w:val="0"/>
              <w:widowControl/>
              <w:suppressLineNumbers w:val="0"/>
              <w:jc w:val="center"/>
              <w:textAlignment w:val="center"/>
              <w:rPr>
                <w:rStyle w:val="6"/>
                <w:rFonts w:hint="eastAsia"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200W</w:t>
            </w:r>
          </w:p>
        </w:tc>
      </w:tr>
      <w:tr w14:paraId="17E72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4E15166D">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1000-1300</w:t>
            </w:r>
          </w:p>
        </w:tc>
        <w:tc>
          <w:tcPr>
            <w:tcW w:w="3479" w:type="dxa"/>
            <w:tcBorders>
              <w:top w:val="single" w:color="auto" w:sz="4" w:space="0"/>
              <w:left w:val="nil"/>
              <w:bottom w:val="single" w:color="auto" w:sz="4" w:space="0"/>
              <w:right w:val="nil"/>
            </w:tcBorders>
            <w:shd w:val="clear" w:color="auto" w:fill="auto"/>
            <w:noWrap w:val="0"/>
            <w:vAlign w:val="center"/>
          </w:tcPr>
          <w:p w14:paraId="78EF189B">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300</w:t>
            </w:r>
          </w:p>
        </w:tc>
        <w:tc>
          <w:tcPr>
            <w:tcW w:w="2997" w:type="dxa"/>
            <w:tcBorders>
              <w:top w:val="single" w:color="auto" w:sz="4" w:space="0"/>
              <w:left w:val="nil"/>
              <w:bottom w:val="single" w:color="auto" w:sz="4" w:space="0"/>
              <w:right w:val="nil"/>
            </w:tcBorders>
            <w:shd w:val="clear" w:color="auto" w:fill="auto"/>
            <w:noWrap w:val="0"/>
            <w:vAlign w:val="center"/>
          </w:tcPr>
          <w:p w14:paraId="4AE61805">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w:t>
            </w:r>
          </w:p>
        </w:tc>
      </w:tr>
      <w:tr w14:paraId="6E4E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1A0974AC">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1300-1400</w:t>
            </w:r>
          </w:p>
        </w:tc>
        <w:tc>
          <w:tcPr>
            <w:tcW w:w="3479" w:type="dxa"/>
            <w:tcBorders>
              <w:top w:val="single" w:color="auto" w:sz="4" w:space="0"/>
              <w:left w:val="nil"/>
              <w:bottom w:val="single" w:color="auto" w:sz="4" w:space="0"/>
              <w:right w:val="nil"/>
            </w:tcBorders>
            <w:shd w:val="clear" w:color="auto" w:fill="auto"/>
            <w:noWrap w:val="0"/>
            <w:vAlign w:val="center"/>
          </w:tcPr>
          <w:p w14:paraId="66D0D3B7">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t>
            </w:r>
          </w:p>
        </w:tc>
        <w:tc>
          <w:tcPr>
            <w:tcW w:w="2997" w:type="dxa"/>
            <w:tcBorders>
              <w:top w:val="single" w:color="auto" w:sz="4" w:space="0"/>
              <w:left w:val="nil"/>
              <w:bottom w:val="single" w:color="auto" w:sz="4" w:space="0"/>
              <w:right w:val="nil"/>
            </w:tcBorders>
            <w:shd w:val="clear" w:color="auto" w:fill="auto"/>
            <w:noWrap w:val="0"/>
            <w:vAlign w:val="center"/>
          </w:tcPr>
          <w:p w14:paraId="2EDD2B0B">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w:t>
            </w:r>
          </w:p>
        </w:tc>
      </w:tr>
      <w:tr w14:paraId="5C03F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6CC6686C">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1500-1600</w:t>
            </w:r>
          </w:p>
        </w:tc>
        <w:tc>
          <w:tcPr>
            <w:tcW w:w="3479" w:type="dxa"/>
            <w:tcBorders>
              <w:top w:val="single" w:color="auto" w:sz="4" w:space="0"/>
              <w:left w:val="nil"/>
              <w:bottom w:val="single" w:color="auto" w:sz="4" w:space="0"/>
              <w:right w:val="nil"/>
            </w:tcBorders>
            <w:shd w:val="clear" w:color="auto" w:fill="auto"/>
            <w:noWrap w:val="0"/>
            <w:vAlign w:val="center"/>
          </w:tcPr>
          <w:p w14:paraId="5790F3EB">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t>
            </w:r>
          </w:p>
        </w:tc>
        <w:tc>
          <w:tcPr>
            <w:tcW w:w="2997" w:type="dxa"/>
            <w:tcBorders>
              <w:top w:val="single" w:color="auto" w:sz="4" w:space="0"/>
              <w:left w:val="nil"/>
              <w:bottom w:val="single" w:color="auto" w:sz="4" w:space="0"/>
              <w:right w:val="nil"/>
            </w:tcBorders>
            <w:shd w:val="clear" w:color="auto" w:fill="auto"/>
            <w:noWrap w:val="0"/>
            <w:vAlign w:val="center"/>
          </w:tcPr>
          <w:p w14:paraId="5757813A">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150W</w:t>
            </w:r>
          </w:p>
        </w:tc>
      </w:tr>
      <w:tr w14:paraId="04FF6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35FADEC2">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1800-1900</w:t>
            </w:r>
          </w:p>
        </w:tc>
        <w:tc>
          <w:tcPr>
            <w:tcW w:w="3479" w:type="dxa"/>
            <w:tcBorders>
              <w:top w:val="single" w:color="auto" w:sz="4" w:space="0"/>
              <w:left w:val="nil"/>
              <w:bottom w:val="single" w:color="auto" w:sz="4" w:space="0"/>
              <w:right w:val="nil"/>
            </w:tcBorders>
            <w:shd w:val="clear" w:color="auto" w:fill="auto"/>
            <w:noWrap w:val="0"/>
            <w:vAlign w:val="center"/>
          </w:tcPr>
          <w:p w14:paraId="4ADBB98D">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t>
            </w:r>
          </w:p>
        </w:tc>
        <w:tc>
          <w:tcPr>
            <w:tcW w:w="2997" w:type="dxa"/>
            <w:tcBorders>
              <w:top w:val="single" w:color="auto" w:sz="4" w:space="0"/>
              <w:left w:val="nil"/>
              <w:bottom w:val="single" w:color="auto" w:sz="4" w:space="0"/>
              <w:right w:val="nil"/>
            </w:tcBorders>
            <w:shd w:val="clear" w:color="auto" w:fill="auto"/>
            <w:noWrap w:val="0"/>
            <w:vAlign w:val="center"/>
          </w:tcPr>
          <w:p w14:paraId="29D0B254">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150W</w:t>
            </w:r>
          </w:p>
        </w:tc>
      </w:tr>
      <w:tr w14:paraId="5B46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41A21239">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2000-2200</w:t>
            </w:r>
          </w:p>
        </w:tc>
        <w:tc>
          <w:tcPr>
            <w:tcW w:w="3479" w:type="dxa"/>
            <w:tcBorders>
              <w:top w:val="single" w:color="auto" w:sz="4" w:space="0"/>
              <w:left w:val="nil"/>
              <w:bottom w:val="single" w:color="auto" w:sz="4" w:space="0"/>
              <w:right w:val="nil"/>
            </w:tcBorders>
            <w:shd w:val="clear" w:color="auto" w:fill="auto"/>
            <w:noWrap w:val="0"/>
            <w:vAlign w:val="center"/>
          </w:tcPr>
          <w:p w14:paraId="27B48A82">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200</w:t>
            </w:r>
          </w:p>
        </w:tc>
        <w:tc>
          <w:tcPr>
            <w:tcW w:w="2997" w:type="dxa"/>
            <w:tcBorders>
              <w:top w:val="single" w:color="auto" w:sz="4" w:space="0"/>
              <w:left w:val="nil"/>
              <w:bottom w:val="single" w:color="auto" w:sz="4" w:space="0"/>
              <w:right w:val="nil"/>
            </w:tcBorders>
            <w:shd w:val="clear" w:color="auto" w:fill="auto"/>
            <w:noWrap w:val="0"/>
            <w:vAlign w:val="center"/>
          </w:tcPr>
          <w:p w14:paraId="6CD2400A">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w:t>
            </w:r>
          </w:p>
        </w:tc>
      </w:tr>
      <w:tr w14:paraId="34FC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13CA6CDE">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2400-2500</w:t>
            </w:r>
          </w:p>
        </w:tc>
        <w:tc>
          <w:tcPr>
            <w:tcW w:w="3479" w:type="dxa"/>
            <w:tcBorders>
              <w:top w:val="single" w:color="auto" w:sz="4" w:space="0"/>
              <w:left w:val="nil"/>
              <w:bottom w:val="single" w:color="auto" w:sz="4" w:space="0"/>
              <w:right w:val="nil"/>
            </w:tcBorders>
            <w:shd w:val="clear" w:color="auto" w:fill="auto"/>
            <w:noWrap w:val="0"/>
            <w:vAlign w:val="center"/>
          </w:tcPr>
          <w:p w14:paraId="1F5B32EA">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100</w:t>
            </w:r>
          </w:p>
        </w:tc>
        <w:tc>
          <w:tcPr>
            <w:tcW w:w="2997" w:type="dxa"/>
            <w:tcBorders>
              <w:top w:val="single" w:color="auto" w:sz="4" w:space="0"/>
              <w:left w:val="nil"/>
              <w:bottom w:val="single" w:color="auto" w:sz="4" w:space="0"/>
              <w:right w:val="nil"/>
            </w:tcBorders>
            <w:shd w:val="clear" w:color="auto" w:fill="auto"/>
            <w:noWrap w:val="0"/>
            <w:vAlign w:val="center"/>
          </w:tcPr>
          <w:p w14:paraId="5534F7D4">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200W</w:t>
            </w:r>
          </w:p>
        </w:tc>
      </w:tr>
      <w:tr w14:paraId="2252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548F30A1">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3300-3600</w:t>
            </w:r>
          </w:p>
        </w:tc>
        <w:tc>
          <w:tcPr>
            <w:tcW w:w="3479" w:type="dxa"/>
            <w:tcBorders>
              <w:top w:val="single" w:color="auto" w:sz="4" w:space="0"/>
              <w:left w:val="nil"/>
              <w:bottom w:val="single" w:color="auto" w:sz="4" w:space="0"/>
              <w:right w:val="nil"/>
            </w:tcBorders>
            <w:shd w:val="clear" w:color="auto" w:fill="auto"/>
            <w:noWrap w:val="0"/>
            <w:vAlign w:val="center"/>
          </w:tcPr>
          <w:p w14:paraId="27790D04">
            <w:pPr>
              <w:keepNext w:val="0"/>
              <w:keepLines w:val="0"/>
              <w:widowControl/>
              <w:suppressLineNumbers w:val="0"/>
              <w:jc w:val="center"/>
              <w:textAlignment w:val="center"/>
              <w:rPr>
                <w:rStyle w:val="6"/>
                <w:rFonts w:hint="eastAsia"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300</w:t>
            </w:r>
          </w:p>
        </w:tc>
        <w:tc>
          <w:tcPr>
            <w:tcW w:w="2997" w:type="dxa"/>
            <w:tcBorders>
              <w:top w:val="single" w:color="auto" w:sz="4" w:space="0"/>
              <w:left w:val="nil"/>
              <w:bottom w:val="single" w:color="auto" w:sz="4" w:space="0"/>
              <w:right w:val="nil"/>
            </w:tcBorders>
            <w:shd w:val="clear" w:color="auto" w:fill="auto"/>
            <w:noWrap w:val="0"/>
            <w:vAlign w:val="center"/>
          </w:tcPr>
          <w:p w14:paraId="687465AA">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50W</w:t>
            </w:r>
          </w:p>
        </w:tc>
      </w:tr>
      <w:tr w14:paraId="30B2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478" w:type="dxa"/>
            <w:tcBorders>
              <w:top w:val="single" w:color="auto" w:sz="4" w:space="0"/>
              <w:left w:val="nil"/>
              <w:bottom w:val="single" w:color="auto" w:sz="4" w:space="0"/>
              <w:right w:val="nil"/>
            </w:tcBorders>
            <w:shd w:val="clear" w:color="auto" w:fill="auto"/>
            <w:noWrap w:val="0"/>
            <w:vAlign w:val="center"/>
          </w:tcPr>
          <w:p w14:paraId="6DAA4338">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4800-6000</w:t>
            </w:r>
          </w:p>
        </w:tc>
        <w:tc>
          <w:tcPr>
            <w:tcW w:w="3479" w:type="dxa"/>
            <w:tcBorders>
              <w:top w:val="single" w:color="auto" w:sz="4" w:space="0"/>
              <w:left w:val="nil"/>
              <w:bottom w:val="single" w:color="auto" w:sz="4" w:space="0"/>
              <w:right w:val="nil"/>
            </w:tcBorders>
            <w:shd w:val="clear" w:color="auto" w:fill="auto"/>
            <w:noWrap w:val="0"/>
            <w:vAlign w:val="center"/>
          </w:tcPr>
          <w:p w14:paraId="6B1EB5DA">
            <w:pPr>
              <w:keepNext w:val="0"/>
              <w:keepLines w:val="0"/>
              <w:widowControl/>
              <w:suppressLineNumbers w:val="0"/>
              <w:jc w:val="center"/>
              <w:textAlignment w:val="center"/>
              <w:rPr>
                <w:rStyle w:val="6"/>
                <w:rFonts w:hint="eastAsia"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400</w:t>
            </w:r>
          </w:p>
        </w:tc>
        <w:tc>
          <w:tcPr>
            <w:tcW w:w="2997" w:type="dxa"/>
            <w:tcBorders>
              <w:top w:val="single" w:color="auto" w:sz="4" w:space="0"/>
              <w:left w:val="nil"/>
              <w:bottom w:val="single" w:color="auto" w:sz="4" w:space="0"/>
              <w:right w:val="nil"/>
            </w:tcBorders>
            <w:shd w:val="clear" w:color="auto" w:fill="auto"/>
            <w:noWrap w:val="0"/>
            <w:vAlign w:val="center"/>
          </w:tcPr>
          <w:p w14:paraId="6B210893">
            <w:pPr>
              <w:keepNext w:val="0"/>
              <w:keepLines w:val="0"/>
              <w:widowControl/>
              <w:suppressLineNumbers w:val="0"/>
              <w:jc w:val="center"/>
              <w:textAlignment w:val="center"/>
              <w:rPr>
                <w:rStyle w:val="6"/>
                <w:rFonts w:hint="default" w:ascii="Arial" w:hAnsi="Arial" w:eastAsia="黑体" w:cs="思源黑体 CN Heavy"/>
                <w:b w:val="0"/>
                <w:bCs w:val="0"/>
                <w:color w:val="auto"/>
                <w:lang w:val="en-US" w:eastAsia="zh-CN" w:bidi="ar"/>
              </w:rPr>
            </w:pPr>
            <w:r>
              <w:rPr>
                <w:rFonts w:hint="default" w:ascii="Arial" w:hAnsi="Arial" w:eastAsia="宋体" w:cs="Arial"/>
                <w:i w:val="0"/>
                <w:iCs w:val="0"/>
                <w:color w:val="000000"/>
                <w:kern w:val="0"/>
                <w:sz w:val="24"/>
                <w:szCs w:val="24"/>
                <w:u w:val="none"/>
                <w:lang w:val="en-US" w:eastAsia="zh-CN" w:bidi="ar"/>
              </w:rPr>
              <w:t>80W</w:t>
            </w:r>
          </w:p>
        </w:tc>
      </w:tr>
    </w:tbl>
    <w:p w14:paraId="145AB6AB">
      <w:pPr>
        <w:keepNext w:val="0"/>
        <w:keepLines w:val="0"/>
        <w:widowControl w:val="0"/>
        <w:suppressLineNumbers w:val="0"/>
        <w:autoSpaceDE w:val="0"/>
        <w:autoSpaceDN/>
        <w:adjustRightInd w:val="0"/>
        <w:snapToGrid w:val="0"/>
        <w:spacing w:before="0" w:beforeAutospacing="0" w:after="0" w:afterAutospacing="0"/>
        <w:ind w:left="0" w:right="0"/>
        <w:jc w:val="left"/>
        <w:rPr>
          <w:rFonts w:hint="eastAsia" w:ascii="Arial" w:hAnsi="Arial" w:eastAsia="宋体" w:cs="Arial"/>
          <w:b/>
          <w:bCs w:val="0"/>
          <w:color w:val="auto"/>
          <w:kern w:val="2"/>
          <w:sz w:val="24"/>
          <w:szCs w:val="24"/>
        </w:rPr>
      </w:pPr>
      <w:r>
        <w:rPr>
          <w:rFonts w:hint="default" w:ascii="Arial" w:hAnsi="Arial" w:eastAsia="宋体" w:cs="Arial"/>
          <w:b/>
          <w:bCs w:val="0"/>
          <w:color w:val="auto"/>
          <w:kern w:val="2"/>
          <w:sz w:val="24"/>
          <w:szCs w:val="24"/>
          <w:lang w:val="en-US" w:eastAsia="zh-CN" w:bidi="ar"/>
        </w:rPr>
        <w:t xml:space="preserve">Note: </w:t>
      </w:r>
      <w:r>
        <w:rPr>
          <w:rFonts w:hint="default" w:ascii="Arial" w:hAnsi="Arial" w:eastAsia="宋体" w:cs="Arial"/>
          <w:b w:val="0"/>
          <w:bCs/>
          <w:color w:val="auto"/>
          <w:kern w:val="2"/>
          <w:sz w:val="24"/>
          <w:szCs w:val="24"/>
          <w:lang w:val="en-US" w:eastAsia="zh-CN" w:bidi="ar"/>
        </w:rPr>
        <w:t>The "Supported Frequency Range (MHz)" in this table is not the actual interference frequency band of a single module. It is the production range supported by the module. The actual interference frequency band of the module is included in the "Supported Frequency Range (MHz)" and is limited by the "Maximum Bandwidth (MHz)".</w:t>
      </w:r>
    </w:p>
    <w:p w14:paraId="16643B0E">
      <w:pPr>
        <w:rPr>
          <w:rFonts w:hint="eastAsia" w:ascii="Arial" w:hAnsi="Arial" w:eastAsia="宋体" w:cs="Times New Roman"/>
          <w:b/>
          <w:color w:val="auto"/>
          <w:sz w:val="30"/>
          <w:szCs w:val="30"/>
          <w:lang w:val="en-US" w:eastAsia="zh-CN"/>
        </w:rPr>
      </w:pPr>
      <w:r>
        <w:rPr>
          <w:rFonts w:hint="eastAsia" w:ascii="Arial" w:hAnsi="Arial" w:eastAsia="宋体" w:cs="Times New Roman"/>
          <w:b/>
          <w:color w:val="auto"/>
          <w:sz w:val="30"/>
          <w:szCs w:val="30"/>
          <w:lang w:val="en-US" w:eastAsia="zh-CN"/>
        </w:rPr>
        <w:br w:type="page"/>
      </w:r>
    </w:p>
    <w:p w14:paraId="32295E4C">
      <w:pPr>
        <w:keepNext w:val="0"/>
        <w:keepLines w:val="0"/>
        <w:pageBreakBefore w:val="0"/>
        <w:numPr>
          <w:ilvl w:val="0"/>
          <w:numId w:val="0"/>
        </w:numPr>
        <w:kinsoku/>
        <w:wordWrap/>
        <w:overflowPunct/>
        <w:topLinePunct w:val="0"/>
        <w:autoSpaceDE/>
        <w:autoSpaceDN/>
        <w:bidi w:val="0"/>
        <w:adjustRightInd/>
        <w:snapToGrid w:val="0"/>
        <w:spacing w:line="360" w:lineRule="auto"/>
        <w:ind w:leftChars="0"/>
        <w:rPr>
          <w:rFonts w:hint="eastAsia" w:ascii="Arial" w:hAnsi="Arial" w:eastAsia="宋体" w:cs="Times New Roman"/>
          <w:b/>
          <w:color w:val="auto"/>
          <w:sz w:val="30"/>
          <w:szCs w:val="30"/>
          <w:lang w:val="en-US" w:eastAsia="zh-CN"/>
        </w:rPr>
      </w:pPr>
      <w:r>
        <w:rPr>
          <w:rFonts w:hint="eastAsia" w:ascii="Arial" w:hAnsi="Arial" w:eastAsia="宋体" w:cs="Times New Roman"/>
          <w:b/>
          <w:color w:val="auto"/>
          <w:sz w:val="30"/>
          <w:szCs w:val="30"/>
          <w:lang w:val="en-US" w:eastAsia="zh-CN"/>
        </w:rPr>
        <w:t>Dimensions</w:t>
      </w:r>
    </w:p>
    <w:p w14:paraId="316FC712">
      <w:pPr>
        <w:jc w:val="center"/>
        <w:rPr>
          <w:rFonts w:ascii="Arial" w:hAnsi="Arial"/>
          <w:color w:val="auto"/>
        </w:rPr>
      </w:pPr>
      <w:r>
        <w:rPr>
          <w:rFonts w:hint="eastAsia" w:ascii="Arial" w:hAnsi="Arial" w:eastAsia="黑体" w:cs="黑体"/>
          <w:color w:val="auto"/>
          <w:lang w:eastAsia="zh-CN"/>
        </w:rPr>
        <w:drawing>
          <wp:inline distT="0" distB="0" distL="114300" distR="114300">
            <wp:extent cx="8399145" cy="5136515"/>
            <wp:effectExtent l="0" t="0" r="6985" b="1905"/>
            <wp:docPr id="2" name="图片 2" descr="模块-162×92×26.5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块-162×92×26.5_00"/>
                    <pic:cNvPicPr>
                      <a:picLocks noChangeAspect="1"/>
                    </pic:cNvPicPr>
                  </pic:nvPicPr>
                  <pic:blipFill>
                    <a:blip r:embed="rId6"/>
                    <a:stretch>
                      <a:fillRect/>
                    </a:stretch>
                  </pic:blipFill>
                  <pic:spPr>
                    <a:xfrm rot="5400000">
                      <a:off x="0" y="0"/>
                      <a:ext cx="8399145" cy="5136515"/>
                    </a:xfrm>
                    <a:prstGeom prst="rect">
                      <a:avLst/>
                    </a:prstGeom>
                  </pic:spPr>
                </pic:pic>
              </a:graphicData>
            </a:graphic>
          </wp:inline>
        </w:drawing>
      </w:r>
    </w:p>
    <w:sectPr>
      <w:headerReference r:id="rId3" w:type="default"/>
      <w:footerReference r:id="rId4" w:type="default"/>
      <w:pgSz w:w="11906" w:h="16838"/>
      <w:pgMar w:top="1270" w:right="1083" w:bottom="1270" w:left="1083" w:header="312"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B3DB10E-87BD-48A0-83B2-50B9F5F6262C}"/>
  </w:font>
  <w:font w:name="黑体">
    <w:panose1 w:val="02010609060101010101"/>
    <w:charset w:val="86"/>
    <w:family w:val="auto"/>
    <w:pitch w:val="default"/>
    <w:sig w:usb0="800002BF" w:usb1="38CF7CFA" w:usb2="00000016" w:usb3="00000000" w:csb0="00040001" w:csb1="00000000"/>
    <w:embedRegular r:id="rId2" w:fontKey="{3455320D-1AFB-4E45-9C33-08278973080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思源黑体 CN Heavy">
    <w:panose1 w:val="020B0A00000000000000"/>
    <w:charset w:val="86"/>
    <w:family w:val="auto"/>
    <w:pitch w:val="default"/>
    <w:sig w:usb0="20000003" w:usb1="2ADF3C10" w:usb2="00000016" w:usb3="00000000" w:csb0="60060107" w:csb1="00000000"/>
  </w:font>
  <w:font w:name="Cambria">
    <w:panose1 w:val="02040503050406030204"/>
    <w:charset w:val="00"/>
    <w:family w:val="auto"/>
    <w:pitch w:val="default"/>
    <w:sig w:usb0="E00006FF" w:usb1="420024FF" w:usb2="02000000" w:usb3="00000000" w:csb0="2000019F" w:csb1="00000000"/>
    <w:embedRegular r:id="rId3" w:fontKey="{BCEA4F76-C905-451B-95B0-802F69082DA8}"/>
  </w:font>
  <w:font w:name="思源黑体 CN Medium">
    <w:panose1 w:val="020B0600000000000000"/>
    <w:charset w:val="86"/>
    <w:family w:val="auto"/>
    <w:pitch w:val="default"/>
    <w:sig w:usb0="20000003" w:usb1="2ADF3C10" w:usb2="00000016" w:usb3="00000000" w:csb0="60060107"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A25F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29832B">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F29832B">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FC1C6">
    <w:pPr>
      <w:pStyle w:val="3"/>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3" name="图片 3"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Njg4MWNiNTIxNmM1NGQzMGYyZTQzNjY5YzI1ODMifQ=="/>
  </w:docVars>
  <w:rsids>
    <w:rsidRoot w:val="1CDC6944"/>
    <w:rsid w:val="01A83D9B"/>
    <w:rsid w:val="0A8B3497"/>
    <w:rsid w:val="0B0F3B43"/>
    <w:rsid w:val="10437B61"/>
    <w:rsid w:val="1CDC6944"/>
    <w:rsid w:val="274D391D"/>
    <w:rsid w:val="2F440A15"/>
    <w:rsid w:val="4541007A"/>
    <w:rsid w:val="4DBB6328"/>
    <w:rsid w:val="545253A1"/>
    <w:rsid w:val="57446622"/>
    <w:rsid w:val="5E563CE1"/>
    <w:rsid w:val="6B834BB6"/>
    <w:rsid w:val="6CF24D9E"/>
    <w:rsid w:val="7B0F3DC5"/>
    <w:rsid w:val="7DEF2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11"/>
    <w:basedOn w:val="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306</Words>
  <Characters>1647</Characters>
  <Lines>0</Lines>
  <Paragraphs>0</Paragraphs>
  <TotalTime>0</TotalTime>
  <ScaleCrop>false</ScaleCrop>
  <LinksUpToDate>false</LinksUpToDate>
  <CharactersWithSpaces>1832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2023-07-14T08:57:00Z</dcterms:created>
  <dc:creator>GH</dc:creator>
  <cp:lastModifiedBy>Anonymous</cp:lastModifiedBy>
  <dcterms:modified xsi:type="dcterms:W3CDTF">2025-10-30T06:12:55Z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4075192084F043BCB36387CD804DB872_11</vt:lpwstr>
  </property>
  <property fmtid="{D5CDD505-2E9C-101B-9397-08002B2CF9AE}" pid="4" name="KSOTemplateDocerSaveRecord">
    <vt:lpwstr>eyJoZGlkIjoiNGVhNjg4MWNiNTIxNmM1NGQzMGYyZTQzNjY5YzI1ODMiLCJ1c2VySWQiOiIzNTcxMTE4MDMifQ==</vt:lpwstr>
  </property>
</Properties>
</file>