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5BEF9">
      <w:pPr>
        <w:keepNext w:val="0"/>
        <w:keepLines w:val="0"/>
        <w:pageBreakBefore w:val="0"/>
        <w:widowControl w:val="0"/>
        <w:kinsoku/>
        <w:wordWrap/>
        <w:overflowPunct/>
        <w:topLinePunct w:val="0"/>
        <w:autoSpaceDE/>
        <w:autoSpaceDN/>
        <w:bidi w:val="0"/>
        <w:adjustRightInd/>
        <w:snapToGrid w:val="0"/>
        <w:spacing w:line="160" w:lineRule="exact"/>
        <w:jc w:val="center"/>
        <w:textAlignment w:val="auto"/>
        <w:rPr>
          <w:rFonts w:hint="eastAsia" w:ascii="Arial" w:hAnsi="Arial" w:eastAsia="宋体" w:cs="Arial"/>
          <w:b/>
          <w:color w:val="auto"/>
          <w:sz w:val="32"/>
          <w:szCs w:val="32"/>
          <w:lang w:val="en-US" w:eastAsia="zh-CN"/>
        </w:rPr>
      </w:pPr>
    </w:p>
    <w:p w14:paraId="22BB52F9">
      <w:pPr>
        <w:keepLines w:val="0"/>
        <w:pageBreakBefore w:val="0"/>
        <w:kinsoku/>
        <w:wordWrap/>
        <w:overflowPunct/>
        <w:topLinePunct w:val="0"/>
        <w:autoSpaceDE/>
        <w:autoSpaceDN/>
        <w:bidi w:val="0"/>
        <w:adjustRightInd/>
        <w:snapToGrid w:val="0"/>
        <w:spacing w:line="240" w:lineRule="auto"/>
        <w:jc w:val="center"/>
        <w:rPr>
          <w:rFonts w:hint="eastAsia" w:ascii="Arial" w:hAnsi="Arial" w:eastAsia="宋体" w:cs="Arial"/>
          <w:b/>
          <w:color w:val="auto"/>
          <w:sz w:val="32"/>
          <w:szCs w:val="32"/>
          <w:lang w:val="en-US" w:eastAsia="zh-CN"/>
        </w:rPr>
      </w:pPr>
      <w:r>
        <w:rPr>
          <w:rFonts w:hint="eastAsia" w:ascii="Arial" w:hAnsi="Arial" w:eastAsia="宋体" w:cs="Arial"/>
          <w:b/>
          <w:color w:val="auto"/>
          <w:sz w:val="32"/>
          <w:szCs w:val="32"/>
          <w:lang w:val="en-US" w:eastAsia="zh-CN"/>
        </w:rPr>
        <w:t>DPA15712328</w:t>
      </w:r>
      <w:r>
        <w:rPr>
          <w:rFonts w:hint="default" w:ascii="Arial" w:hAnsi="Arial" w:eastAsia="宋体" w:cs="Arial"/>
          <w:b/>
          <w:color w:val="auto"/>
          <w:sz w:val="32"/>
          <w:szCs w:val="32"/>
          <w:lang w:val="en-US" w:eastAsia="zh-CN"/>
        </w:rPr>
        <w:t xml:space="preserve"> </w:t>
      </w:r>
      <w:r>
        <w:rPr>
          <w:rFonts w:hint="default" w:ascii="Arial" w:hAnsi="Arial" w:eastAsia="宋体" w:cs="Arial"/>
          <w:b/>
          <w:color w:val="auto"/>
          <w:sz w:val="32"/>
          <w:szCs w:val="32"/>
        </w:rPr>
        <w:t xml:space="preserve">DDS Module </w:t>
      </w:r>
      <w:r>
        <w:rPr>
          <w:rFonts w:hint="eastAsia" w:ascii="Arial" w:hAnsi="Arial" w:eastAsia="宋体" w:cs="Arial"/>
          <w:b/>
          <w:color w:val="auto"/>
          <w:sz w:val="32"/>
          <w:szCs w:val="32"/>
          <w:lang w:val="en-US" w:eastAsia="zh-CN"/>
        </w:rPr>
        <w:t>Data Sheet</w:t>
      </w:r>
    </w:p>
    <w:p w14:paraId="6E48322D">
      <w:pPr>
        <w:keepNext w:val="0"/>
        <w:keepLines w:val="0"/>
        <w:pageBreakBefore w:val="0"/>
        <w:widowControl w:val="0"/>
        <w:kinsoku/>
        <w:wordWrap/>
        <w:overflowPunct/>
        <w:topLinePunct w:val="0"/>
        <w:autoSpaceDE/>
        <w:autoSpaceDN/>
        <w:bidi w:val="0"/>
        <w:adjustRightInd/>
        <w:snapToGrid w:val="0"/>
        <w:spacing w:line="160" w:lineRule="exact"/>
        <w:jc w:val="center"/>
        <w:textAlignment w:val="auto"/>
        <w:rPr>
          <w:rFonts w:hint="default" w:ascii="Arial" w:hAnsi="Arial" w:eastAsia="宋体" w:cs="Arial"/>
          <w:b/>
          <w:color w:val="auto"/>
          <w:sz w:val="32"/>
          <w:szCs w:val="32"/>
          <w:lang w:val="en-US" w:eastAsia="zh-CN"/>
        </w:rPr>
      </w:pPr>
    </w:p>
    <w:p w14:paraId="05D28864">
      <w:pPr>
        <w:keepLines w:val="0"/>
        <w:pageBreakBefore w:val="0"/>
        <w:kinsoku/>
        <w:wordWrap/>
        <w:overflowPunct/>
        <w:topLinePunct w:val="0"/>
        <w:autoSpaceDE/>
        <w:autoSpaceDN/>
        <w:bidi w:val="0"/>
        <w:adjustRightInd/>
        <w:snapToGrid w:val="0"/>
        <w:spacing w:line="240" w:lineRule="auto"/>
        <w:jc w:val="center"/>
        <w:rPr>
          <w:rFonts w:hint="default" w:ascii="Arial" w:hAnsi="Arial" w:cs="Arial"/>
          <w:color w:val="auto"/>
        </w:rPr>
      </w:pPr>
      <w:r>
        <w:rPr>
          <w:rFonts w:hint="eastAsia" w:ascii="Arial" w:hAnsi="Arial" w:eastAsia="黑体"/>
          <w:color w:val="auto"/>
          <w:lang w:eastAsia="zh-CN"/>
        </w:rPr>
        <w:drawing>
          <wp:inline distT="0" distB="0" distL="114300" distR="114300">
            <wp:extent cx="2139950" cy="1558290"/>
            <wp:effectExtent l="0" t="0" r="12700" b="3810"/>
            <wp:docPr id="2" name="图片 2" descr="IMGL9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L9095"/>
                    <pic:cNvPicPr>
                      <a:picLocks noChangeAspect="1"/>
                    </pic:cNvPicPr>
                  </pic:nvPicPr>
                  <pic:blipFill>
                    <a:blip r:embed="rId6"/>
                    <a:srcRect l="21360" t="24477" r="20564" b="12107"/>
                    <a:stretch>
                      <a:fillRect/>
                    </a:stretch>
                  </pic:blipFill>
                  <pic:spPr>
                    <a:xfrm>
                      <a:off x="0" y="0"/>
                      <a:ext cx="2139950" cy="1558290"/>
                    </a:xfrm>
                    <a:prstGeom prst="rect">
                      <a:avLst/>
                    </a:prstGeom>
                  </pic:spPr>
                </pic:pic>
              </a:graphicData>
            </a:graphic>
          </wp:inline>
        </w:drawing>
      </w:r>
      <w:r>
        <w:rPr>
          <w:rFonts w:hint="eastAsia" w:ascii="Arial" w:hAnsi="Arial" w:eastAsia="黑体"/>
          <w:color w:val="auto"/>
          <w:lang w:eastAsia="zh-CN"/>
        </w:rPr>
        <w:drawing>
          <wp:inline distT="0" distB="0" distL="114300" distR="114300">
            <wp:extent cx="1672590" cy="1559560"/>
            <wp:effectExtent l="0" t="0" r="3810" b="2540"/>
            <wp:docPr id="5" name="图片 5" descr="IMGL9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L9093"/>
                    <pic:cNvPicPr>
                      <a:picLocks noChangeAspect="1"/>
                    </pic:cNvPicPr>
                  </pic:nvPicPr>
                  <pic:blipFill>
                    <a:blip r:embed="rId7"/>
                    <a:srcRect l="29513" t="22772" r="27726" b="17470"/>
                    <a:stretch>
                      <a:fillRect/>
                    </a:stretch>
                  </pic:blipFill>
                  <pic:spPr>
                    <a:xfrm>
                      <a:off x="0" y="0"/>
                      <a:ext cx="1672590" cy="1559560"/>
                    </a:xfrm>
                    <a:prstGeom prst="rect">
                      <a:avLst/>
                    </a:prstGeom>
                  </pic:spPr>
                </pic:pic>
              </a:graphicData>
            </a:graphic>
          </wp:inline>
        </w:drawing>
      </w:r>
      <w:r>
        <w:rPr>
          <w:rFonts w:hint="eastAsia" w:ascii="Arial" w:hAnsi="Arial" w:eastAsia="黑体"/>
          <w:color w:val="auto"/>
          <w:lang w:eastAsia="zh-CN"/>
        </w:rPr>
        <w:drawing>
          <wp:inline distT="0" distB="0" distL="114300" distR="114300">
            <wp:extent cx="2037080" cy="1520825"/>
            <wp:effectExtent l="0" t="0" r="1270" b="3175"/>
            <wp:docPr id="6" name="图片 6" descr="IMGL9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L9094"/>
                    <pic:cNvPicPr>
                      <a:picLocks noChangeAspect="1"/>
                    </pic:cNvPicPr>
                  </pic:nvPicPr>
                  <pic:blipFill>
                    <a:blip r:embed="rId8"/>
                    <a:srcRect l="19893" t="24353" r="23499" b="12277"/>
                    <a:stretch>
                      <a:fillRect/>
                    </a:stretch>
                  </pic:blipFill>
                  <pic:spPr>
                    <a:xfrm>
                      <a:off x="0" y="0"/>
                      <a:ext cx="2037080" cy="1520825"/>
                    </a:xfrm>
                    <a:prstGeom prst="rect">
                      <a:avLst/>
                    </a:prstGeom>
                  </pic:spPr>
                </pic:pic>
              </a:graphicData>
            </a:graphic>
          </wp:inline>
        </w:drawing>
      </w:r>
    </w:p>
    <w:p w14:paraId="30A05BC1">
      <w:pPr>
        <w:keepLines w:val="0"/>
        <w:pageBreakBefore w:val="0"/>
        <w:numPr>
          <w:ilvl w:val="0"/>
          <w:numId w:val="0"/>
        </w:numPr>
        <w:kinsoku/>
        <w:wordWrap/>
        <w:overflowPunct/>
        <w:topLinePunct w:val="0"/>
        <w:autoSpaceDE/>
        <w:autoSpaceDN/>
        <w:bidi w:val="0"/>
        <w:adjustRightInd/>
        <w:snapToGrid w:val="0"/>
        <w:spacing w:line="240" w:lineRule="auto"/>
        <w:ind w:leftChars="0"/>
        <w:rPr>
          <w:rFonts w:hint="default" w:ascii="Arial" w:hAnsi="Arial" w:eastAsia="宋体" w:cs="Arial"/>
          <w:b/>
          <w:bCs w:val="0"/>
          <w:color w:val="auto"/>
          <w:sz w:val="30"/>
          <w:szCs w:val="30"/>
        </w:rPr>
      </w:pPr>
    </w:p>
    <w:p w14:paraId="36EC2360">
      <w:pPr>
        <w:pStyle w:val="2"/>
        <w:bidi w:val="0"/>
        <w:rPr>
          <w:rFonts w:hint="default"/>
          <w:lang w:val="en-US" w:eastAsia="zh-CN"/>
        </w:rPr>
      </w:pPr>
      <w:bookmarkStart w:id="0" w:name="_Toc5269"/>
      <w:r>
        <w:rPr>
          <w:rFonts w:hint="default"/>
          <w:lang w:val="en-US" w:eastAsia="zh-CN"/>
        </w:rPr>
        <w:t>Introduction</w:t>
      </w:r>
      <w:bookmarkEnd w:id="0"/>
    </w:p>
    <w:p w14:paraId="31061445">
      <w:pPr>
        <w:keepNext/>
        <w:keepLines w:val="0"/>
        <w:pageBreakBefore w:val="0"/>
        <w:widowControl w:val="0"/>
        <w:numPr>
          <w:ilvl w:val="0"/>
          <w:numId w:val="0"/>
        </w:numPr>
        <w:kinsoku/>
        <w:wordWrap/>
        <w:overflowPunct/>
        <w:topLinePunct w:val="0"/>
        <w:autoSpaceDE/>
        <w:autoSpaceDN/>
        <w:bidi w:val="0"/>
        <w:adjustRightInd w:val="0"/>
        <w:snapToGrid w:val="0"/>
        <w:spacing w:line="240" w:lineRule="auto"/>
        <w:ind w:leftChars="0"/>
        <w:jc w:val="left"/>
        <w:textAlignment w:val="auto"/>
        <w:rPr>
          <w:rFonts w:hint="default" w:ascii="Arial" w:hAnsi="Arial" w:eastAsia="宋体" w:cs="Arial"/>
          <w:b w:val="0"/>
          <w:bCs/>
          <w:color w:val="auto"/>
          <w:sz w:val="30"/>
          <w:szCs w:val="30"/>
          <w:lang w:val="en-US" w:eastAsia="zh-CN"/>
        </w:rPr>
      </w:pPr>
      <w:r>
        <w:rPr>
          <w:rFonts w:hint="default" w:ascii="Arial" w:hAnsi="Arial" w:eastAsia="宋体" w:cs="Arial"/>
          <w:b w:val="0"/>
          <w:bCs/>
          <w:color w:val="auto"/>
          <w:sz w:val="30"/>
          <w:szCs w:val="30"/>
          <w:lang w:val="en-US" w:eastAsia="zh-CN"/>
        </w:rPr>
        <w:t xml:space="preserve">This module is developed based on SDR (Software-defined Radio) technology, generating and amplifying a maximum bandwidth of about </w:t>
      </w:r>
      <w:r>
        <w:rPr>
          <w:rFonts w:hint="eastAsia" w:ascii="Arial" w:hAnsi="Arial" w:eastAsia="宋体" w:cs="Arial"/>
          <w:b w:val="0"/>
          <w:bCs/>
          <w:color w:val="auto"/>
          <w:sz w:val="30"/>
          <w:szCs w:val="30"/>
          <w:lang w:val="en-US" w:eastAsia="zh-CN"/>
        </w:rPr>
        <w:t>4</w:t>
      </w:r>
      <w:r>
        <w:rPr>
          <w:rFonts w:hint="default" w:ascii="Arial" w:hAnsi="Arial" w:eastAsia="宋体" w:cs="Arial"/>
          <w:b w:val="0"/>
          <w:bCs/>
          <w:color w:val="auto"/>
          <w:sz w:val="30"/>
          <w:szCs w:val="30"/>
          <w:lang w:val="en-US" w:eastAsia="zh-CN"/>
        </w:rPr>
        <w:t>00MHz between 20MHz and 6GHz.</w:t>
      </w:r>
    </w:p>
    <w:p w14:paraId="52F7889A">
      <w:pPr>
        <w:keepNext/>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ind w:leftChars="0"/>
        <w:jc w:val="left"/>
        <w:textAlignment w:val="auto"/>
        <w:rPr>
          <w:rFonts w:hint="default" w:ascii="Arial" w:hAnsi="Arial" w:eastAsia="宋体" w:cs="Arial"/>
          <w:b w:val="0"/>
          <w:bCs/>
          <w:color w:val="auto"/>
          <w:sz w:val="30"/>
          <w:szCs w:val="30"/>
          <w:lang w:val="en-US" w:eastAsia="zh-CN"/>
        </w:rPr>
      </w:pPr>
      <w:r>
        <w:rPr>
          <w:rFonts w:hint="default" w:ascii="Arial" w:hAnsi="Arial" w:eastAsia="宋体" w:cs="Arial"/>
          <w:b w:val="0"/>
          <w:bCs/>
          <w:color w:val="auto"/>
          <w:sz w:val="30"/>
          <w:szCs w:val="30"/>
          <w:lang w:val="en-US" w:eastAsia="zh-CN"/>
        </w:rPr>
        <w:t>Application range: Signal jammer for wireless communication products such as mobile phones/walkie-talkies/RC Drone/RC Car/RC Boat.</w:t>
      </w:r>
      <w:bookmarkStart w:id="5" w:name="_GoBack"/>
      <w:bookmarkEnd w:id="5"/>
    </w:p>
    <w:p w14:paraId="4ACD5B30">
      <w:pPr>
        <w:rPr>
          <w:rFonts w:hint="default" w:ascii="Arial" w:hAnsi="Arial" w:eastAsia="宋体" w:cs="Arial"/>
          <w:b/>
          <w:bCs w:val="0"/>
          <w:color w:val="auto"/>
          <w:sz w:val="30"/>
          <w:szCs w:val="30"/>
        </w:rPr>
      </w:pPr>
    </w:p>
    <w:p w14:paraId="0FC155DF">
      <w:pPr>
        <w:pStyle w:val="2"/>
        <w:widowControl/>
        <w:rPr>
          <w:rFonts w:hint="default" w:ascii="Arial" w:hAnsi="Arial" w:eastAsia="宋体" w:cs="Arial"/>
          <w:b/>
          <w:bCs w:val="0"/>
          <w:kern w:val="2"/>
          <w:sz w:val="30"/>
          <w:szCs w:val="30"/>
        </w:rPr>
      </w:pPr>
      <w:bookmarkStart w:id="1" w:name="_Toc31945"/>
      <w:r>
        <w:rPr>
          <w:rFonts w:hint="default" w:ascii="Arial" w:hAnsi="Arial" w:eastAsia="黑体" w:cs="Times New Roman"/>
          <w:b/>
          <w:bCs w:val="0"/>
          <w:kern w:val="2"/>
          <w:sz w:val="32"/>
          <w:szCs w:val="32"/>
        </w:rPr>
        <w:t>Produce Range</w:t>
      </w:r>
      <w:bookmarkEnd w:id="1"/>
    </w:p>
    <w:tbl>
      <w:tblPr>
        <w:tblStyle w:val="5"/>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3868"/>
        <w:gridCol w:w="2839"/>
        <w:gridCol w:w="3217"/>
      </w:tblGrid>
      <w:tr w14:paraId="3769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6EAAD1A2">
            <w:pPr>
              <w:keepNext w:val="0"/>
              <w:keepLines w:val="0"/>
              <w:widowControl w:val="0"/>
              <w:suppressLineNumbers w:val="0"/>
              <w:spacing w:before="0" w:beforeAutospacing="0" w:after="0" w:afterAutospacing="0"/>
              <w:ind w:left="0" w:right="0"/>
              <w:jc w:val="center"/>
              <w:rPr>
                <w:rFonts w:hint="default" w:ascii="Arial" w:hAnsi="Arial" w:eastAsia="思源黑体 CN Heavy" w:cs="Arial"/>
                <w:sz w:val="24"/>
                <w:szCs w:val="24"/>
                <w:bdr w:val="none" w:color="auto" w:sz="0" w:space="0"/>
              </w:rPr>
            </w:pPr>
            <w:r>
              <w:rPr>
                <w:rFonts w:hint="default" w:ascii="Arial" w:hAnsi="Arial" w:eastAsia="宋体" w:cs="Arial"/>
                <w:b/>
                <w:bCs/>
                <w:kern w:val="0"/>
                <w:sz w:val="24"/>
                <w:szCs w:val="24"/>
                <w:bdr w:val="none" w:color="auto" w:sz="0" w:space="0"/>
                <w:lang w:val="en-US" w:eastAsia="zh-CN" w:bidi="ar"/>
              </w:rPr>
              <w:t>Selectable Frequency Range (MHz)</w:t>
            </w:r>
          </w:p>
        </w:tc>
        <w:tc>
          <w:tcPr>
            <w:tcW w:w="1430" w:type="pct"/>
            <w:tcBorders>
              <w:top w:val="single" w:color="auto" w:sz="4" w:space="0"/>
              <w:left w:val="nil"/>
              <w:bottom w:val="single" w:color="auto" w:sz="4" w:space="0"/>
              <w:right w:val="nil"/>
            </w:tcBorders>
            <w:shd w:val="clear"/>
            <w:vAlign w:val="center"/>
          </w:tcPr>
          <w:p w14:paraId="2906FD09">
            <w:pPr>
              <w:keepNext w:val="0"/>
              <w:keepLines w:val="0"/>
              <w:widowControl/>
              <w:suppressLineNumbers w:val="0"/>
              <w:spacing w:before="0" w:beforeAutospacing="0" w:after="0" w:afterAutospacing="0"/>
              <w:ind w:left="0" w:right="0"/>
              <w:jc w:val="center"/>
              <w:textAlignment w:val="top"/>
              <w:rPr>
                <w:rFonts w:hint="default" w:ascii="Arial" w:hAnsi="Arial" w:eastAsia="思源黑体 CN Heavy" w:cs="Arial"/>
                <w:sz w:val="24"/>
                <w:szCs w:val="24"/>
                <w:bdr w:val="none" w:color="auto" w:sz="0" w:space="0"/>
              </w:rPr>
            </w:pPr>
            <w:r>
              <w:rPr>
                <w:rFonts w:hint="default" w:ascii="Arial" w:hAnsi="Arial" w:eastAsia="黑体" w:cs="Arial"/>
                <w:b/>
                <w:bCs w:val="0"/>
                <w:kern w:val="2"/>
                <w:sz w:val="24"/>
                <w:szCs w:val="24"/>
                <w:bdr w:val="none" w:color="auto" w:sz="0" w:space="0"/>
                <w:lang w:val="en-US" w:eastAsia="zh-CN" w:bidi="ar"/>
              </w:rPr>
              <w:t>Maximum selectable bandwidth (MHz)</w:t>
            </w:r>
          </w:p>
        </w:tc>
        <w:tc>
          <w:tcPr>
            <w:tcW w:w="1620" w:type="pct"/>
            <w:tcBorders>
              <w:top w:val="single" w:color="auto" w:sz="4" w:space="0"/>
              <w:left w:val="nil"/>
              <w:bottom w:val="single" w:color="auto" w:sz="4" w:space="0"/>
              <w:right w:val="nil"/>
            </w:tcBorders>
            <w:shd w:val="clear"/>
            <w:vAlign w:val="center"/>
          </w:tcPr>
          <w:p w14:paraId="062DFBA0">
            <w:pPr>
              <w:keepNext w:val="0"/>
              <w:keepLines w:val="0"/>
              <w:widowControl/>
              <w:suppressLineNumbers w:val="0"/>
              <w:spacing w:before="0" w:beforeAutospacing="0" w:after="0" w:afterAutospacing="0"/>
              <w:ind w:left="0" w:right="0"/>
              <w:jc w:val="center"/>
              <w:textAlignment w:val="top"/>
              <w:rPr>
                <w:rFonts w:hint="default" w:ascii="Arial" w:hAnsi="Arial" w:eastAsia="思源黑体 CN Heavy" w:cs="Arial"/>
                <w:sz w:val="24"/>
                <w:szCs w:val="24"/>
                <w:bdr w:val="none" w:color="auto" w:sz="0" w:space="0"/>
              </w:rPr>
            </w:pPr>
            <w:r>
              <w:rPr>
                <w:rFonts w:hint="default" w:ascii="Arial" w:hAnsi="Arial" w:eastAsia="黑体" w:cs="Arial"/>
                <w:b/>
                <w:bCs w:val="0"/>
                <w:kern w:val="2"/>
                <w:sz w:val="24"/>
                <w:szCs w:val="24"/>
                <w:bdr w:val="none" w:color="auto" w:sz="0" w:space="0"/>
                <w:lang w:val="en-US" w:eastAsia="zh-CN" w:bidi="ar"/>
              </w:rPr>
              <w:t>Maximum selectable output power (W)</w:t>
            </w:r>
          </w:p>
        </w:tc>
      </w:tr>
      <w:tr w14:paraId="6D422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3EE2D225">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bCs w:val="0"/>
                <w:kern w:val="2"/>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20-100</w:t>
            </w:r>
          </w:p>
        </w:tc>
        <w:tc>
          <w:tcPr>
            <w:tcW w:w="1430" w:type="pct"/>
            <w:tcBorders>
              <w:top w:val="single" w:color="auto" w:sz="4" w:space="0"/>
              <w:left w:val="nil"/>
              <w:bottom w:val="single" w:color="auto" w:sz="4" w:space="0"/>
              <w:right w:val="nil"/>
            </w:tcBorders>
            <w:shd w:val="clear"/>
            <w:vAlign w:val="center"/>
          </w:tcPr>
          <w:p w14:paraId="0AC8ABDC">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80</w:t>
            </w:r>
          </w:p>
        </w:tc>
        <w:tc>
          <w:tcPr>
            <w:tcW w:w="1620" w:type="pct"/>
            <w:tcBorders>
              <w:top w:val="single" w:color="auto" w:sz="4" w:space="0"/>
              <w:left w:val="nil"/>
              <w:bottom w:val="single" w:color="auto" w:sz="4" w:space="0"/>
              <w:right w:val="nil"/>
            </w:tcBorders>
            <w:shd w:val="clear"/>
            <w:vAlign w:val="center"/>
          </w:tcPr>
          <w:p w14:paraId="5B838795">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100</w:t>
            </w:r>
          </w:p>
        </w:tc>
      </w:tr>
      <w:tr w14:paraId="66FD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4FF684AD">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bCs w:val="0"/>
                <w:kern w:val="2"/>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100-500</w:t>
            </w:r>
          </w:p>
        </w:tc>
        <w:tc>
          <w:tcPr>
            <w:tcW w:w="1430" w:type="pct"/>
            <w:tcBorders>
              <w:top w:val="single" w:color="auto" w:sz="4" w:space="0"/>
              <w:left w:val="nil"/>
              <w:bottom w:val="single" w:color="auto" w:sz="4" w:space="0"/>
              <w:right w:val="nil"/>
            </w:tcBorders>
            <w:shd w:val="clear"/>
            <w:vAlign w:val="center"/>
          </w:tcPr>
          <w:p w14:paraId="0714C9F0">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250</w:t>
            </w:r>
          </w:p>
        </w:tc>
        <w:tc>
          <w:tcPr>
            <w:tcW w:w="1620" w:type="pct"/>
            <w:tcBorders>
              <w:top w:val="single" w:color="auto" w:sz="4" w:space="0"/>
              <w:left w:val="nil"/>
              <w:bottom w:val="single" w:color="auto" w:sz="4" w:space="0"/>
              <w:right w:val="nil"/>
            </w:tcBorders>
            <w:shd w:val="clear"/>
            <w:vAlign w:val="center"/>
          </w:tcPr>
          <w:p w14:paraId="62D567B2">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100</w:t>
            </w:r>
          </w:p>
        </w:tc>
      </w:tr>
      <w:tr w14:paraId="5476D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5F8162D0">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bCs w:val="0"/>
                <w:kern w:val="2"/>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700-1000</w:t>
            </w:r>
          </w:p>
        </w:tc>
        <w:tc>
          <w:tcPr>
            <w:tcW w:w="1430" w:type="pct"/>
            <w:tcBorders>
              <w:top w:val="single" w:color="auto" w:sz="4" w:space="0"/>
              <w:left w:val="nil"/>
              <w:bottom w:val="single" w:color="auto" w:sz="4" w:space="0"/>
              <w:right w:val="nil"/>
            </w:tcBorders>
            <w:shd w:val="clear"/>
            <w:vAlign w:val="center"/>
          </w:tcPr>
          <w:p w14:paraId="271BBD6C">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300</w:t>
            </w:r>
          </w:p>
        </w:tc>
        <w:tc>
          <w:tcPr>
            <w:tcW w:w="1620" w:type="pct"/>
            <w:tcBorders>
              <w:top w:val="single" w:color="auto" w:sz="4" w:space="0"/>
              <w:left w:val="nil"/>
              <w:bottom w:val="single" w:color="auto" w:sz="4" w:space="0"/>
              <w:right w:val="nil"/>
            </w:tcBorders>
            <w:shd w:val="clear"/>
            <w:vAlign w:val="center"/>
          </w:tcPr>
          <w:p w14:paraId="6C14DE63">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100</w:t>
            </w:r>
          </w:p>
        </w:tc>
      </w:tr>
      <w:tr w14:paraId="1F61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280CE92F">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1000-1550</w:t>
            </w:r>
          </w:p>
        </w:tc>
        <w:tc>
          <w:tcPr>
            <w:tcW w:w="1430" w:type="pct"/>
            <w:tcBorders>
              <w:top w:val="single" w:color="auto" w:sz="4" w:space="0"/>
              <w:left w:val="nil"/>
              <w:bottom w:val="single" w:color="auto" w:sz="4" w:space="0"/>
              <w:right w:val="nil"/>
            </w:tcBorders>
            <w:shd w:val="clear"/>
            <w:vAlign w:val="center"/>
          </w:tcPr>
          <w:p w14:paraId="7617EE30">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300</w:t>
            </w:r>
          </w:p>
        </w:tc>
        <w:tc>
          <w:tcPr>
            <w:tcW w:w="1620" w:type="pct"/>
            <w:tcBorders>
              <w:top w:val="single" w:color="auto" w:sz="4" w:space="0"/>
              <w:left w:val="nil"/>
              <w:bottom w:val="single" w:color="auto" w:sz="4" w:space="0"/>
              <w:right w:val="nil"/>
            </w:tcBorders>
            <w:shd w:val="clear"/>
            <w:vAlign w:val="center"/>
          </w:tcPr>
          <w:p w14:paraId="7B647602">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70</w:t>
            </w:r>
          </w:p>
        </w:tc>
      </w:tr>
      <w:tr w14:paraId="11B59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6D2EB949">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1550-1990</w:t>
            </w:r>
          </w:p>
        </w:tc>
        <w:tc>
          <w:tcPr>
            <w:tcW w:w="1430" w:type="pct"/>
            <w:tcBorders>
              <w:top w:val="single" w:color="auto" w:sz="4" w:space="0"/>
              <w:left w:val="nil"/>
              <w:bottom w:val="single" w:color="auto" w:sz="4" w:space="0"/>
              <w:right w:val="nil"/>
            </w:tcBorders>
            <w:shd w:val="clear"/>
            <w:vAlign w:val="center"/>
          </w:tcPr>
          <w:p w14:paraId="299E958F">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300</w:t>
            </w:r>
          </w:p>
        </w:tc>
        <w:tc>
          <w:tcPr>
            <w:tcW w:w="1620" w:type="pct"/>
            <w:tcBorders>
              <w:top w:val="single" w:color="auto" w:sz="4" w:space="0"/>
              <w:left w:val="nil"/>
              <w:bottom w:val="single" w:color="auto" w:sz="4" w:space="0"/>
              <w:right w:val="nil"/>
            </w:tcBorders>
            <w:shd w:val="clear"/>
            <w:vAlign w:val="center"/>
          </w:tcPr>
          <w:p w14:paraId="39B9459E">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100</w:t>
            </w:r>
          </w:p>
        </w:tc>
      </w:tr>
      <w:tr w14:paraId="5591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7B95BB85">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2010-2700</w:t>
            </w:r>
          </w:p>
        </w:tc>
        <w:tc>
          <w:tcPr>
            <w:tcW w:w="1430" w:type="pct"/>
            <w:tcBorders>
              <w:top w:val="single" w:color="auto" w:sz="4" w:space="0"/>
              <w:left w:val="nil"/>
              <w:bottom w:val="single" w:color="auto" w:sz="4" w:space="0"/>
              <w:right w:val="nil"/>
            </w:tcBorders>
            <w:shd w:val="clear"/>
            <w:vAlign w:val="center"/>
          </w:tcPr>
          <w:p w14:paraId="3F64CE58">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300</w:t>
            </w:r>
          </w:p>
        </w:tc>
        <w:tc>
          <w:tcPr>
            <w:tcW w:w="1620" w:type="pct"/>
            <w:tcBorders>
              <w:top w:val="single" w:color="auto" w:sz="4" w:space="0"/>
              <w:left w:val="nil"/>
              <w:bottom w:val="single" w:color="auto" w:sz="4" w:space="0"/>
              <w:right w:val="nil"/>
            </w:tcBorders>
            <w:shd w:val="clear"/>
            <w:vAlign w:val="center"/>
          </w:tcPr>
          <w:p w14:paraId="0D08624F">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100</w:t>
            </w:r>
          </w:p>
        </w:tc>
      </w:tr>
      <w:tr w14:paraId="0CFB5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30B135C6">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3300-3600</w:t>
            </w:r>
          </w:p>
        </w:tc>
        <w:tc>
          <w:tcPr>
            <w:tcW w:w="1430" w:type="pct"/>
            <w:tcBorders>
              <w:top w:val="single" w:color="auto" w:sz="4" w:space="0"/>
              <w:left w:val="nil"/>
              <w:bottom w:val="single" w:color="auto" w:sz="4" w:space="0"/>
              <w:right w:val="nil"/>
            </w:tcBorders>
            <w:shd w:val="clear"/>
            <w:vAlign w:val="center"/>
          </w:tcPr>
          <w:p w14:paraId="20E8940D">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300</w:t>
            </w:r>
          </w:p>
        </w:tc>
        <w:tc>
          <w:tcPr>
            <w:tcW w:w="1620" w:type="pct"/>
            <w:tcBorders>
              <w:top w:val="single" w:color="auto" w:sz="4" w:space="0"/>
              <w:left w:val="nil"/>
              <w:bottom w:val="single" w:color="auto" w:sz="4" w:space="0"/>
              <w:right w:val="nil"/>
            </w:tcBorders>
            <w:shd w:val="clear"/>
            <w:vAlign w:val="center"/>
          </w:tcPr>
          <w:p w14:paraId="5F3F88CF">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80</w:t>
            </w:r>
          </w:p>
        </w:tc>
      </w:tr>
      <w:tr w14:paraId="7F2C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5" w:hRule="atLeast"/>
          <w:jc w:val="center"/>
        </w:trPr>
        <w:tc>
          <w:tcPr>
            <w:tcW w:w="1948" w:type="pct"/>
            <w:tcBorders>
              <w:top w:val="single" w:color="auto" w:sz="4" w:space="0"/>
              <w:left w:val="nil"/>
              <w:bottom w:val="single" w:color="auto" w:sz="4" w:space="0"/>
              <w:right w:val="nil"/>
            </w:tcBorders>
            <w:shd w:val="clear"/>
            <w:vAlign w:val="center"/>
          </w:tcPr>
          <w:p w14:paraId="78CE409B">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4800-6000</w:t>
            </w:r>
          </w:p>
        </w:tc>
        <w:tc>
          <w:tcPr>
            <w:tcW w:w="1430" w:type="pct"/>
            <w:tcBorders>
              <w:top w:val="single" w:color="auto" w:sz="4" w:space="0"/>
              <w:left w:val="nil"/>
              <w:bottom w:val="single" w:color="auto" w:sz="4" w:space="0"/>
              <w:right w:val="nil"/>
            </w:tcBorders>
            <w:shd w:val="clear"/>
            <w:vAlign w:val="center"/>
          </w:tcPr>
          <w:p w14:paraId="722B5593">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300</w:t>
            </w:r>
          </w:p>
        </w:tc>
        <w:tc>
          <w:tcPr>
            <w:tcW w:w="1620" w:type="pct"/>
            <w:tcBorders>
              <w:top w:val="single" w:color="auto" w:sz="4" w:space="0"/>
              <w:left w:val="nil"/>
              <w:bottom w:val="single" w:color="auto" w:sz="4" w:space="0"/>
              <w:right w:val="nil"/>
            </w:tcBorders>
            <w:shd w:val="clear"/>
            <w:vAlign w:val="center"/>
          </w:tcPr>
          <w:p w14:paraId="18373D46">
            <w:pPr>
              <w:keepNext w:val="0"/>
              <w:keepLines w:val="0"/>
              <w:widowControl/>
              <w:suppressLineNumbers w:val="0"/>
              <w:snapToGrid w:val="0"/>
              <w:spacing w:before="0" w:beforeAutospacing="0" w:after="0" w:afterAutospacing="0"/>
              <w:ind w:left="0" w:right="0"/>
              <w:jc w:val="center"/>
              <w:textAlignment w:val="top"/>
              <w:rPr>
                <w:rFonts w:hint="default" w:ascii="Arial" w:hAnsi="Arial" w:eastAsia="黑体" w:cs="Arial"/>
                <w:b w:val="0"/>
                <w:bCs w:val="0"/>
                <w:sz w:val="24"/>
                <w:szCs w:val="24"/>
                <w:bdr w:val="none" w:color="auto" w:sz="0" w:space="0"/>
              </w:rPr>
            </w:pPr>
            <w:r>
              <w:rPr>
                <w:rStyle w:val="9"/>
                <w:rFonts w:hint="default" w:ascii="Arial" w:hAnsi="Arial" w:eastAsia="黑体" w:cs="Arial"/>
                <w:b w:val="0"/>
                <w:bCs w:val="0"/>
                <w:kern w:val="2"/>
                <w:sz w:val="24"/>
                <w:szCs w:val="24"/>
                <w:bdr w:val="none" w:color="auto" w:sz="0" w:space="0"/>
                <w:lang w:val="en-US" w:eastAsia="zh-CN" w:bidi="ar"/>
              </w:rPr>
              <w:t>80</w:t>
            </w:r>
          </w:p>
        </w:tc>
      </w:tr>
    </w:tbl>
    <w:p w14:paraId="47C1153D">
      <w:pPr>
        <w:keepNext w:val="0"/>
        <w:keepLines w:val="0"/>
        <w:widowControl w:val="0"/>
        <w:suppressLineNumbers w:val="0"/>
        <w:autoSpaceDE w:val="0"/>
        <w:autoSpaceDN/>
        <w:adjustRightInd w:val="0"/>
        <w:snapToGrid w:val="0"/>
        <w:spacing w:before="0" w:beforeAutospacing="0" w:after="0" w:afterAutospacing="0" w:line="160" w:lineRule="exact"/>
        <w:ind w:left="0" w:right="0"/>
        <w:jc w:val="left"/>
        <w:rPr>
          <w:rFonts w:hint="default" w:ascii="Arial" w:hAnsi="Arial" w:eastAsia="宋体" w:cs="Arial"/>
          <w:b/>
          <w:bCs w:val="0"/>
          <w:kern w:val="2"/>
          <w:sz w:val="24"/>
          <w:szCs w:val="24"/>
        </w:rPr>
      </w:pPr>
      <w:r>
        <w:rPr>
          <w:rFonts w:hint="default" w:ascii="Arial" w:hAnsi="Arial" w:eastAsia="宋体" w:cs="Arial"/>
          <w:b/>
          <w:bCs w:val="0"/>
          <w:kern w:val="2"/>
          <w:sz w:val="24"/>
          <w:szCs w:val="24"/>
          <w:lang w:val="en-US" w:eastAsia="zh-CN" w:bidi="ar"/>
        </w:rPr>
        <w:t xml:space="preserve"> </w:t>
      </w:r>
    </w:p>
    <w:p w14:paraId="192F46C0">
      <w:pPr>
        <w:keepNext w:val="0"/>
        <w:keepLines w:val="0"/>
        <w:widowControl w:val="0"/>
        <w:suppressLineNumbers w:val="0"/>
        <w:spacing w:before="0" w:beforeAutospacing="0" w:after="0" w:afterAutospacing="0"/>
        <w:ind w:left="0" w:right="0"/>
        <w:jc w:val="both"/>
      </w:pPr>
      <w:r>
        <w:rPr>
          <w:rFonts w:hint="default" w:ascii="Arial" w:hAnsi="Arial" w:eastAsia="宋体" w:cs="Arial"/>
          <w:b/>
          <w:bCs w:val="0"/>
          <w:kern w:val="2"/>
          <w:sz w:val="24"/>
          <w:szCs w:val="24"/>
          <w:lang w:val="en-US" w:eastAsia="zh-CN" w:bidi="ar"/>
        </w:rPr>
        <w:t xml:space="preserve">Note: </w:t>
      </w:r>
      <w:r>
        <w:rPr>
          <w:rFonts w:hint="default" w:ascii="Arial" w:hAnsi="Arial" w:eastAsia="宋体" w:cs="Arial"/>
          <w:b w:val="0"/>
          <w:bCs/>
          <w:kern w:val="2"/>
          <w:sz w:val="24"/>
          <w:szCs w:val="24"/>
          <w:lang w:val="en-US" w:eastAsia="zh-CN" w:bidi="ar"/>
        </w:rPr>
        <w:t>The "Selectable Frequency Range" shown in this table refers to the manufacturing coverage, not the exact output range of a single module. Each module must operate within this range, with an actual output bandwidth that does not exceed the “Maximum Selectable Bandwidth.”</w:t>
      </w:r>
    </w:p>
    <w:p w14:paraId="4114FB8D">
      <w:pPr>
        <w:rPr>
          <w:rFonts w:hint="default" w:ascii="Arial" w:hAnsi="Arial" w:eastAsia="宋体" w:cs="Arial"/>
          <w:b/>
          <w:bCs w:val="0"/>
          <w:color w:val="auto"/>
          <w:sz w:val="30"/>
          <w:szCs w:val="30"/>
        </w:rPr>
      </w:pPr>
      <w:r>
        <w:rPr>
          <w:rFonts w:hint="default" w:ascii="Arial" w:hAnsi="Arial" w:eastAsia="宋体" w:cs="Arial"/>
          <w:b/>
          <w:bCs w:val="0"/>
          <w:color w:val="auto"/>
          <w:sz w:val="30"/>
          <w:szCs w:val="30"/>
        </w:rPr>
        <w:br w:type="page"/>
      </w:r>
    </w:p>
    <w:p w14:paraId="3972C6D0">
      <w:pPr>
        <w:keepLines w:val="0"/>
        <w:pageBreakBefore w:val="0"/>
        <w:numPr>
          <w:ilvl w:val="0"/>
          <w:numId w:val="0"/>
        </w:numPr>
        <w:kinsoku/>
        <w:wordWrap/>
        <w:overflowPunct/>
        <w:topLinePunct w:val="0"/>
        <w:autoSpaceDE/>
        <w:autoSpaceDN/>
        <w:bidi w:val="0"/>
        <w:adjustRightInd/>
        <w:snapToGrid w:val="0"/>
        <w:spacing w:line="240" w:lineRule="auto"/>
        <w:ind w:leftChars="0"/>
        <w:rPr>
          <w:rFonts w:hint="default" w:ascii="Arial" w:hAnsi="Arial" w:eastAsia="宋体" w:cs="Arial"/>
          <w:b/>
          <w:bCs w:val="0"/>
          <w:color w:val="auto"/>
          <w:sz w:val="30"/>
          <w:szCs w:val="30"/>
        </w:rPr>
      </w:pPr>
      <w:r>
        <w:rPr>
          <w:rFonts w:hint="default" w:ascii="Arial" w:hAnsi="Arial" w:eastAsia="宋体" w:cs="Arial"/>
          <w:b/>
          <w:bCs w:val="0"/>
          <w:color w:val="auto"/>
          <w:sz w:val="30"/>
          <w:szCs w:val="30"/>
        </w:rPr>
        <w:t>Radio Frequency Indicators</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1443"/>
        <w:gridCol w:w="1531"/>
        <w:gridCol w:w="2500"/>
        <w:gridCol w:w="3332"/>
      </w:tblGrid>
      <w:tr w14:paraId="49D1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1A54D8EF">
            <w:pPr>
              <w:keepLines w:val="0"/>
              <w:pageBreakBefore w:val="0"/>
              <w:widowControl/>
              <w:kinsoku/>
              <w:wordWrap/>
              <w:overflowPunct/>
              <w:topLinePunct w:val="0"/>
              <w:autoSpaceDE/>
              <w:autoSpaceDN/>
              <w:bidi w:val="0"/>
              <w:adjustRightInd/>
              <w:snapToGrid w:val="0"/>
              <w:spacing w:line="240" w:lineRule="auto"/>
              <w:jc w:val="center"/>
              <w:textAlignment w:val="top"/>
              <w:rPr>
                <w:rStyle w:val="7"/>
                <w:rFonts w:hint="default" w:ascii="Arial" w:hAnsi="Arial" w:eastAsia="思源黑体 CN Heavy" w:cs="Arial"/>
                <w:color w:val="auto"/>
                <w:lang w:bidi="ar"/>
              </w:rPr>
            </w:pPr>
            <w:r>
              <w:rPr>
                <w:rFonts w:hint="default" w:ascii="Arial" w:hAnsi="Arial" w:eastAsia="黑体" w:cs="Arial"/>
                <w:b/>
                <w:color w:val="auto"/>
                <w:sz w:val="24"/>
              </w:rPr>
              <w:t>Test items</w:t>
            </w:r>
          </w:p>
        </w:tc>
        <w:tc>
          <w:tcPr>
            <w:tcW w:w="2481" w:type="dxa"/>
            <w:tcBorders>
              <w:top w:val="single" w:color="auto" w:sz="4" w:space="0"/>
              <w:left w:val="nil"/>
              <w:bottom w:val="single" w:color="auto" w:sz="4" w:space="0"/>
              <w:right w:val="nil"/>
            </w:tcBorders>
            <w:shd w:val="clear" w:color="auto" w:fill="auto"/>
            <w:vAlign w:val="center"/>
          </w:tcPr>
          <w:p w14:paraId="24596506">
            <w:pPr>
              <w:keepLines w:val="0"/>
              <w:pageBreakBefore w:val="0"/>
              <w:widowControl/>
              <w:kinsoku/>
              <w:wordWrap/>
              <w:overflowPunct/>
              <w:topLinePunct w:val="0"/>
              <w:autoSpaceDE/>
              <w:autoSpaceDN/>
              <w:bidi w:val="0"/>
              <w:adjustRightInd/>
              <w:snapToGrid w:val="0"/>
              <w:spacing w:line="240" w:lineRule="auto"/>
              <w:jc w:val="center"/>
              <w:textAlignment w:val="top"/>
              <w:rPr>
                <w:rStyle w:val="7"/>
                <w:rFonts w:hint="default" w:ascii="Arial" w:hAnsi="Arial" w:eastAsia="思源黑体 CN Heavy" w:cs="Arial"/>
                <w:color w:val="auto"/>
                <w:lang w:bidi="ar"/>
              </w:rPr>
            </w:pPr>
            <w:r>
              <w:rPr>
                <w:rFonts w:hint="default" w:ascii="Arial" w:hAnsi="Arial" w:eastAsia="黑体" w:cs="Arial"/>
                <w:b/>
                <w:color w:val="auto"/>
                <w:sz w:val="24"/>
              </w:rPr>
              <w:t>Indicator</w:t>
            </w:r>
          </w:p>
        </w:tc>
        <w:tc>
          <w:tcPr>
            <w:tcW w:w="3281" w:type="dxa"/>
            <w:tcBorders>
              <w:top w:val="single" w:color="auto" w:sz="4" w:space="0"/>
              <w:left w:val="nil"/>
              <w:bottom w:val="single" w:color="auto" w:sz="4" w:space="0"/>
              <w:right w:val="nil"/>
            </w:tcBorders>
            <w:shd w:val="clear" w:color="auto" w:fill="auto"/>
            <w:vAlign w:val="center"/>
          </w:tcPr>
          <w:p w14:paraId="2C875B89">
            <w:pPr>
              <w:keepLines w:val="0"/>
              <w:pageBreakBefore w:val="0"/>
              <w:widowControl/>
              <w:kinsoku/>
              <w:wordWrap/>
              <w:overflowPunct/>
              <w:topLinePunct w:val="0"/>
              <w:autoSpaceDE/>
              <w:autoSpaceDN/>
              <w:bidi w:val="0"/>
              <w:adjustRightInd/>
              <w:snapToGrid w:val="0"/>
              <w:spacing w:line="240" w:lineRule="auto"/>
              <w:jc w:val="center"/>
              <w:textAlignment w:val="top"/>
              <w:rPr>
                <w:rStyle w:val="7"/>
                <w:rFonts w:hint="default" w:ascii="Arial" w:hAnsi="Arial" w:eastAsia="思源黑体 CN Heavy" w:cs="Arial"/>
                <w:color w:val="auto"/>
                <w:lang w:bidi="ar"/>
              </w:rPr>
            </w:pPr>
            <w:r>
              <w:rPr>
                <w:rFonts w:hint="default" w:ascii="Arial" w:hAnsi="Arial" w:eastAsia="黑体" w:cs="Arial"/>
                <w:b/>
                <w:color w:val="auto"/>
                <w:sz w:val="24"/>
              </w:rPr>
              <w:t>Remark</w:t>
            </w:r>
          </w:p>
        </w:tc>
      </w:tr>
      <w:tr w14:paraId="6308C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2FA6836A">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Operating Voltage</w:t>
            </w:r>
          </w:p>
        </w:tc>
        <w:tc>
          <w:tcPr>
            <w:tcW w:w="2481" w:type="dxa"/>
            <w:tcBorders>
              <w:top w:val="single" w:color="auto" w:sz="4" w:space="0"/>
              <w:left w:val="nil"/>
              <w:bottom w:val="single" w:color="auto" w:sz="4" w:space="0"/>
              <w:right w:val="nil"/>
            </w:tcBorders>
            <w:shd w:val="clear" w:color="auto" w:fill="auto"/>
            <w:vAlign w:val="center"/>
          </w:tcPr>
          <w:p w14:paraId="69D82C2C">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28V</w:t>
            </w:r>
          </w:p>
        </w:tc>
        <w:tc>
          <w:tcPr>
            <w:tcW w:w="3281" w:type="dxa"/>
            <w:tcBorders>
              <w:top w:val="single" w:color="auto" w:sz="4" w:space="0"/>
              <w:left w:val="nil"/>
              <w:bottom w:val="single" w:color="auto" w:sz="4" w:space="0"/>
              <w:right w:val="nil"/>
            </w:tcBorders>
            <w:shd w:val="clear" w:color="auto" w:fill="auto"/>
            <w:vAlign w:val="center"/>
          </w:tcPr>
          <w:p w14:paraId="17569582">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2</w:t>
            </w:r>
            <w:r>
              <w:rPr>
                <w:rFonts w:hint="eastAsia" w:ascii="Arial" w:hAnsi="Arial" w:eastAsia="黑体" w:cs="Arial"/>
                <w:bCs/>
                <w:color w:val="auto"/>
                <w:sz w:val="21"/>
                <w:szCs w:val="21"/>
                <w:lang w:val="en-US" w:eastAsia="zh-CN"/>
              </w:rPr>
              <w:t>8</w:t>
            </w:r>
            <w:r>
              <w:rPr>
                <w:rFonts w:hint="default" w:ascii="Arial" w:hAnsi="Arial" w:eastAsia="黑体" w:cs="Arial"/>
                <w:bCs/>
                <w:color w:val="auto"/>
                <w:sz w:val="21"/>
                <w:szCs w:val="21"/>
              </w:rPr>
              <w:t>-3</w:t>
            </w:r>
            <w:r>
              <w:rPr>
                <w:rFonts w:hint="eastAsia" w:ascii="Arial" w:hAnsi="Arial" w:eastAsia="黑体" w:cs="Arial"/>
                <w:bCs/>
                <w:color w:val="auto"/>
                <w:sz w:val="21"/>
                <w:szCs w:val="21"/>
                <w:lang w:val="en-US" w:eastAsia="zh-CN"/>
              </w:rPr>
              <w:t>0</w:t>
            </w:r>
            <w:r>
              <w:rPr>
                <w:rFonts w:hint="default" w:ascii="Arial" w:hAnsi="Arial" w:eastAsia="黑体" w:cs="Arial"/>
                <w:bCs/>
                <w:color w:val="auto"/>
                <w:sz w:val="21"/>
                <w:szCs w:val="21"/>
              </w:rPr>
              <w:t>V</w:t>
            </w:r>
          </w:p>
        </w:tc>
      </w:tr>
      <w:tr w14:paraId="625E7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113E207F">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Conversion Efficiency</w:t>
            </w:r>
          </w:p>
        </w:tc>
        <w:tc>
          <w:tcPr>
            <w:tcW w:w="2481" w:type="dxa"/>
            <w:tcBorders>
              <w:top w:val="single" w:color="auto" w:sz="4" w:space="0"/>
              <w:left w:val="nil"/>
              <w:bottom w:val="single" w:color="auto" w:sz="4" w:space="0"/>
              <w:right w:val="nil"/>
            </w:tcBorders>
            <w:shd w:val="clear" w:color="auto" w:fill="auto"/>
            <w:vAlign w:val="center"/>
          </w:tcPr>
          <w:p w14:paraId="36F1827F">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≥42%</w:t>
            </w:r>
          </w:p>
        </w:tc>
        <w:tc>
          <w:tcPr>
            <w:tcW w:w="3281" w:type="dxa"/>
            <w:tcBorders>
              <w:top w:val="single" w:color="auto" w:sz="4" w:space="0"/>
              <w:left w:val="nil"/>
              <w:bottom w:val="single" w:color="auto" w:sz="4" w:space="0"/>
              <w:right w:val="nil"/>
            </w:tcBorders>
            <w:shd w:val="clear" w:color="auto" w:fill="auto"/>
            <w:vAlign w:val="center"/>
          </w:tcPr>
          <w:p w14:paraId="29AAB2F3">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@100W  Typical</w:t>
            </w:r>
          </w:p>
        </w:tc>
      </w:tr>
      <w:tr w14:paraId="47CCC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33A7EC2A">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Controllable Output Power</w:t>
            </w:r>
          </w:p>
        </w:tc>
        <w:tc>
          <w:tcPr>
            <w:tcW w:w="2481" w:type="dxa"/>
            <w:tcBorders>
              <w:top w:val="single" w:color="auto" w:sz="4" w:space="0"/>
              <w:left w:val="nil"/>
              <w:bottom w:val="single" w:color="auto" w:sz="4" w:space="0"/>
              <w:right w:val="nil"/>
            </w:tcBorders>
            <w:shd w:val="clear" w:color="auto" w:fill="auto"/>
            <w:vAlign w:val="center"/>
          </w:tcPr>
          <w:p w14:paraId="4F8DB381">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10W～100W</w:t>
            </w:r>
          </w:p>
        </w:tc>
        <w:tc>
          <w:tcPr>
            <w:tcW w:w="3281" w:type="dxa"/>
            <w:tcBorders>
              <w:top w:val="single" w:color="auto" w:sz="4" w:space="0"/>
              <w:left w:val="nil"/>
              <w:bottom w:val="single" w:color="auto" w:sz="4" w:space="0"/>
              <w:right w:val="nil"/>
            </w:tcBorders>
            <w:shd w:val="clear" w:color="auto" w:fill="auto"/>
            <w:vAlign w:val="center"/>
          </w:tcPr>
          <w:p w14:paraId="4937E512">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Software-configurable power</w:t>
            </w:r>
          </w:p>
        </w:tc>
      </w:tr>
      <w:tr w14:paraId="746D3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4A29551A">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ALC Power Adjustment Range</w:t>
            </w:r>
          </w:p>
        </w:tc>
        <w:tc>
          <w:tcPr>
            <w:tcW w:w="2481" w:type="dxa"/>
            <w:tcBorders>
              <w:top w:val="single" w:color="auto" w:sz="4" w:space="0"/>
              <w:left w:val="nil"/>
              <w:bottom w:val="single" w:color="auto" w:sz="4" w:space="0"/>
              <w:right w:val="nil"/>
            </w:tcBorders>
            <w:shd w:val="clear" w:color="auto" w:fill="auto"/>
            <w:vAlign w:val="center"/>
          </w:tcPr>
          <w:p w14:paraId="40AAEDA3">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≥30dB</w:t>
            </w:r>
          </w:p>
        </w:tc>
        <w:tc>
          <w:tcPr>
            <w:tcW w:w="3281" w:type="dxa"/>
            <w:tcBorders>
              <w:top w:val="single" w:color="auto" w:sz="4" w:space="0"/>
              <w:left w:val="nil"/>
              <w:bottom w:val="single" w:color="auto" w:sz="4" w:space="0"/>
              <w:right w:val="nil"/>
            </w:tcBorders>
            <w:shd w:val="clear" w:color="auto" w:fill="auto"/>
            <w:vAlign w:val="center"/>
          </w:tcPr>
          <w:p w14:paraId="7F28EA61">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Voltage-Controlled Attenuation</w:t>
            </w:r>
          </w:p>
        </w:tc>
      </w:tr>
      <w:tr w14:paraId="42AB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381D80CD">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Gain</w:t>
            </w:r>
          </w:p>
        </w:tc>
        <w:tc>
          <w:tcPr>
            <w:tcW w:w="2481" w:type="dxa"/>
            <w:tcBorders>
              <w:top w:val="single" w:color="auto" w:sz="4" w:space="0"/>
              <w:left w:val="nil"/>
              <w:bottom w:val="single" w:color="auto" w:sz="4" w:space="0"/>
              <w:right w:val="nil"/>
            </w:tcBorders>
            <w:shd w:val="clear" w:color="auto" w:fill="auto"/>
            <w:vAlign w:val="center"/>
          </w:tcPr>
          <w:p w14:paraId="3F8F0E05">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50±1.0dB</w:t>
            </w:r>
          </w:p>
        </w:tc>
        <w:tc>
          <w:tcPr>
            <w:tcW w:w="3281" w:type="dxa"/>
            <w:tcBorders>
              <w:top w:val="single" w:color="auto" w:sz="4" w:space="0"/>
              <w:left w:val="nil"/>
              <w:bottom w:val="single" w:color="auto" w:sz="4" w:space="0"/>
              <w:right w:val="nil"/>
            </w:tcBorders>
            <w:shd w:val="clear" w:color="auto" w:fill="auto"/>
            <w:vAlign w:val="center"/>
          </w:tcPr>
          <w:p w14:paraId="26457DC9">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p>
        </w:tc>
      </w:tr>
      <w:tr w14:paraId="40BC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74ABCABE">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In-band Fluctuation</w:t>
            </w:r>
          </w:p>
        </w:tc>
        <w:tc>
          <w:tcPr>
            <w:tcW w:w="2481" w:type="dxa"/>
            <w:tcBorders>
              <w:top w:val="single" w:color="auto" w:sz="4" w:space="0"/>
              <w:left w:val="nil"/>
              <w:bottom w:val="single" w:color="auto" w:sz="4" w:space="0"/>
              <w:right w:val="nil"/>
            </w:tcBorders>
            <w:shd w:val="clear" w:color="auto" w:fill="auto"/>
            <w:vAlign w:val="center"/>
          </w:tcPr>
          <w:p w14:paraId="78AE5541">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≤2.5dB</w:t>
            </w:r>
          </w:p>
        </w:tc>
        <w:tc>
          <w:tcPr>
            <w:tcW w:w="3281" w:type="dxa"/>
            <w:tcBorders>
              <w:top w:val="single" w:color="auto" w:sz="4" w:space="0"/>
              <w:left w:val="nil"/>
              <w:bottom w:val="single" w:color="auto" w:sz="4" w:space="0"/>
              <w:right w:val="nil"/>
            </w:tcBorders>
            <w:shd w:val="clear" w:color="auto" w:fill="auto"/>
            <w:vAlign w:val="center"/>
          </w:tcPr>
          <w:p w14:paraId="64B4AC11">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Peak-to-peak value</w:t>
            </w:r>
          </w:p>
        </w:tc>
      </w:tr>
      <w:tr w14:paraId="0DAF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restart"/>
            <w:tcBorders>
              <w:top w:val="single" w:color="auto" w:sz="4" w:space="0"/>
              <w:left w:val="nil"/>
              <w:bottom w:val="single" w:color="auto" w:sz="4" w:space="0"/>
              <w:right w:val="nil"/>
            </w:tcBorders>
            <w:shd w:val="clear" w:color="auto" w:fill="auto"/>
            <w:vAlign w:val="center"/>
          </w:tcPr>
          <w:p w14:paraId="2ECEAAD8">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Spurious Emission</w:t>
            </w:r>
          </w:p>
        </w:tc>
        <w:tc>
          <w:tcPr>
            <w:tcW w:w="0" w:type="auto"/>
            <w:gridSpan w:val="2"/>
            <w:tcBorders>
              <w:top w:val="single" w:color="auto" w:sz="4" w:space="0"/>
              <w:left w:val="nil"/>
              <w:bottom w:val="single" w:color="auto" w:sz="4" w:space="0"/>
              <w:right w:val="nil"/>
            </w:tcBorders>
            <w:shd w:val="clear" w:color="auto" w:fill="auto"/>
            <w:vAlign w:val="center"/>
          </w:tcPr>
          <w:p w14:paraId="6E69DE01">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In-band</w:t>
            </w:r>
          </w:p>
        </w:tc>
        <w:tc>
          <w:tcPr>
            <w:tcW w:w="2481" w:type="dxa"/>
            <w:tcBorders>
              <w:top w:val="single" w:color="auto" w:sz="4" w:space="0"/>
              <w:left w:val="nil"/>
              <w:bottom w:val="single" w:color="auto" w:sz="4" w:space="0"/>
              <w:right w:val="nil"/>
            </w:tcBorders>
            <w:shd w:val="clear" w:color="auto" w:fill="auto"/>
            <w:vAlign w:val="center"/>
          </w:tcPr>
          <w:p w14:paraId="681EDD73">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≤-15dBm/1MHz</w:t>
            </w:r>
          </w:p>
        </w:tc>
        <w:tc>
          <w:tcPr>
            <w:tcW w:w="3281" w:type="dxa"/>
            <w:vMerge w:val="restart"/>
            <w:tcBorders>
              <w:top w:val="single" w:color="auto" w:sz="4" w:space="0"/>
              <w:left w:val="nil"/>
              <w:bottom w:val="single" w:color="auto" w:sz="4" w:space="0"/>
              <w:right w:val="nil"/>
            </w:tcBorders>
            <w:shd w:val="clear" w:color="auto" w:fill="auto"/>
            <w:vAlign w:val="center"/>
          </w:tcPr>
          <w:p w14:paraId="0F862459">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Measure at the center frequency with CW signal at maximum output power</w:t>
            </w:r>
          </w:p>
        </w:tc>
      </w:tr>
      <w:tr w14:paraId="0A28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2399AB4B">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1475" w:type="dxa"/>
            <w:vMerge w:val="restart"/>
            <w:tcBorders>
              <w:top w:val="single" w:color="auto" w:sz="4" w:space="0"/>
              <w:left w:val="nil"/>
              <w:bottom w:val="single" w:color="auto" w:sz="4" w:space="0"/>
              <w:right w:val="nil"/>
            </w:tcBorders>
            <w:shd w:val="clear" w:color="auto" w:fill="auto"/>
            <w:vAlign w:val="center"/>
          </w:tcPr>
          <w:p w14:paraId="3A9BA3DD">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Out-of-band</w:t>
            </w:r>
          </w:p>
        </w:tc>
        <w:tc>
          <w:tcPr>
            <w:tcW w:w="1569" w:type="dxa"/>
            <w:tcBorders>
              <w:top w:val="single" w:color="auto" w:sz="4" w:space="0"/>
              <w:left w:val="nil"/>
              <w:bottom w:val="single" w:color="auto" w:sz="4" w:space="0"/>
              <w:right w:val="nil"/>
            </w:tcBorders>
            <w:shd w:val="clear" w:color="auto" w:fill="auto"/>
            <w:vAlign w:val="center"/>
          </w:tcPr>
          <w:p w14:paraId="637DEDFB">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9KHz～1GHz</w:t>
            </w:r>
          </w:p>
        </w:tc>
        <w:tc>
          <w:tcPr>
            <w:tcW w:w="2481" w:type="dxa"/>
            <w:vMerge w:val="restart"/>
            <w:tcBorders>
              <w:top w:val="single" w:color="auto" w:sz="4" w:space="0"/>
              <w:left w:val="nil"/>
              <w:bottom w:val="single" w:color="auto" w:sz="4" w:space="0"/>
              <w:right w:val="nil"/>
            </w:tcBorders>
            <w:shd w:val="clear" w:color="auto" w:fill="auto"/>
            <w:vAlign w:val="center"/>
          </w:tcPr>
          <w:p w14:paraId="1964137C">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No higher than normal background noise and interference</w:t>
            </w:r>
          </w:p>
        </w:tc>
        <w:tc>
          <w:tcPr>
            <w:tcW w:w="3281" w:type="dxa"/>
            <w:vMerge w:val="continue"/>
            <w:tcBorders>
              <w:top w:val="single" w:color="auto" w:sz="4" w:space="0"/>
              <w:left w:val="nil"/>
              <w:bottom w:val="single" w:color="auto" w:sz="4" w:space="0"/>
              <w:right w:val="nil"/>
            </w:tcBorders>
            <w:shd w:val="clear" w:color="auto" w:fill="auto"/>
            <w:vAlign w:val="center"/>
          </w:tcPr>
          <w:p w14:paraId="0C5137AC">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p>
        </w:tc>
      </w:tr>
      <w:tr w14:paraId="5C60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374DAC61">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1475" w:type="dxa"/>
            <w:vMerge w:val="continue"/>
            <w:tcBorders>
              <w:top w:val="single" w:color="auto" w:sz="4" w:space="0"/>
              <w:left w:val="nil"/>
              <w:bottom w:val="single" w:color="auto" w:sz="4" w:space="0"/>
              <w:right w:val="nil"/>
            </w:tcBorders>
            <w:shd w:val="clear" w:color="auto" w:fill="auto"/>
            <w:vAlign w:val="center"/>
          </w:tcPr>
          <w:p w14:paraId="4FF8431E">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1569" w:type="dxa"/>
            <w:tcBorders>
              <w:top w:val="single" w:color="auto" w:sz="4" w:space="0"/>
              <w:left w:val="nil"/>
              <w:bottom w:val="single" w:color="auto" w:sz="4" w:space="0"/>
              <w:right w:val="nil"/>
            </w:tcBorders>
            <w:shd w:val="clear" w:color="auto" w:fill="auto"/>
            <w:vAlign w:val="center"/>
          </w:tcPr>
          <w:p w14:paraId="719C8A5A">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1G～12.75GHz</w:t>
            </w:r>
          </w:p>
        </w:tc>
        <w:tc>
          <w:tcPr>
            <w:tcW w:w="2481" w:type="dxa"/>
            <w:vMerge w:val="continue"/>
            <w:tcBorders>
              <w:top w:val="single" w:color="auto" w:sz="4" w:space="0"/>
              <w:left w:val="nil"/>
              <w:bottom w:val="single" w:color="auto" w:sz="4" w:space="0"/>
              <w:right w:val="nil"/>
            </w:tcBorders>
            <w:shd w:val="clear" w:color="auto" w:fill="auto"/>
            <w:vAlign w:val="center"/>
          </w:tcPr>
          <w:p w14:paraId="2513EDEF">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p>
        </w:tc>
        <w:tc>
          <w:tcPr>
            <w:tcW w:w="3281" w:type="dxa"/>
            <w:vMerge w:val="continue"/>
            <w:tcBorders>
              <w:top w:val="single" w:color="auto" w:sz="4" w:space="0"/>
              <w:left w:val="nil"/>
              <w:bottom w:val="single" w:color="auto" w:sz="4" w:space="0"/>
              <w:right w:val="nil"/>
            </w:tcBorders>
            <w:shd w:val="clear" w:color="auto" w:fill="auto"/>
            <w:vAlign w:val="center"/>
          </w:tcPr>
          <w:p w14:paraId="046C3C4B">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p>
        </w:tc>
      </w:tr>
      <w:tr w14:paraId="08BF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02490DE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Maximum Allowable Input Power</w:t>
            </w:r>
          </w:p>
        </w:tc>
        <w:tc>
          <w:tcPr>
            <w:tcW w:w="2481" w:type="dxa"/>
            <w:tcBorders>
              <w:top w:val="single" w:color="auto" w:sz="4" w:space="0"/>
              <w:left w:val="nil"/>
              <w:bottom w:val="single" w:color="auto" w:sz="4" w:space="0"/>
              <w:right w:val="nil"/>
            </w:tcBorders>
            <w:shd w:val="clear" w:color="auto" w:fill="auto"/>
            <w:vAlign w:val="center"/>
          </w:tcPr>
          <w:p w14:paraId="509EEF78">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≥+10dBm</w:t>
            </w:r>
          </w:p>
        </w:tc>
        <w:tc>
          <w:tcPr>
            <w:tcW w:w="3281" w:type="dxa"/>
            <w:tcBorders>
              <w:top w:val="single" w:color="auto" w:sz="4" w:space="0"/>
              <w:left w:val="nil"/>
              <w:bottom w:val="single" w:color="auto" w:sz="4" w:space="0"/>
              <w:right w:val="nil"/>
            </w:tcBorders>
            <w:shd w:val="clear" w:color="auto" w:fill="auto"/>
            <w:vAlign w:val="center"/>
          </w:tcPr>
          <w:p w14:paraId="50244DCF">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Lasts 1min without damage</w:t>
            </w:r>
          </w:p>
        </w:tc>
      </w:tr>
      <w:tr w14:paraId="3B91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5FF9445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Input VSWR</w:t>
            </w:r>
          </w:p>
        </w:tc>
        <w:tc>
          <w:tcPr>
            <w:tcW w:w="2481" w:type="dxa"/>
            <w:tcBorders>
              <w:top w:val="single" w:color="auto" w:sz="4" w:space="0"/>
              <w:left w:val="nil"/>
              <w:bottom w:val="single" w:color="auto" w:sz="4" w:space="0"/>
              <w:right w:val="nil"/>
            </w:tcBorders>
            <w:shd w:val="clear" w:color="auto" w:fill="auto"/>
            <w:vAlign w:val="center"/>
          </w:tcPr>
          <w:p w14:paraId="53976D67">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≤1.35</w:t>
            </w:r>
          </w:p>
        </w:tc>
        <w:tc>
          <w:tcPr>
            <w:tcW w:w="3281" w:type="dxa"/>
            <w:tcBorders>
              <w:top w:val="single" w:color="auto" w:sz="4" w:space="0"/>
              <w:left w:val="nil"/>
              <w:bottom w:val="single" w:color="auto" w:sz="4" w:space="0"/>
              <w:right w:val="nil"/>
            </w:tcBorders>
            <w:shd w:val="clear" w:color="auto" w:fill="auto"/>
            <w:vAlign w:val="center"/>
          </w:tcPr>
          <w:p w14:paraId="10A37C1D">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Add +28V, standard network output -10dBm</w:t>
            </w:r>
          </w:p>
        </w:tc>
      </w:tr>
      <w:tr w14:paraId="4C4E7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vMerge w:val="restart"/>
            <w:tcBorders>
              <w:top w:val="single" w:color="auto" w:sz="4" w:space="0"/>
              <w:left w:val="nil"/>
              <w:bottom w:val="single" w:color="auto" w:sz="4" w:space="0"/>
              <w:right w:val="nil"/>
            </w:tcBorders>
            <w:shd w:val="clear" w:color="auto" w:fill="auto"/>
            <w:vAlign w:val="center"/>
          </w:tcPr>
          <w:p w14:paraId="53A1B955">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Output VSWR</w:t>
            </w:r>
          </w:p>
        </w:tc>
        <w:tc>
          <w:tcPr>
            <w:tcW w:w="2481" w:type="dxa"/>
            <w:tcBorders>
              <w:top w:val="single" w:color="auto" w:sz="4" w:space="0"/>
              <w:left w:val="nil"/>
              <w:bottom w:val="single" w:color="auto" w:sz="4" w:space="0"/>
              <w:right w:val="nil"/>
            </w:tcBorders>
            <w:shd w:val="clear" w:color="auto" w:fill="auto"/>
            <w:vAlign w:val="center"/>
          </w:tcPr>
          <w:p w14:paraId="49C59634">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≤1.30</w:t>
            </w:r>
          </w:p>
        </w:tc>
        <w:tc>
          <w:tcPr>
            <w:tcW w:w="3281" w:type="dxa"/>
            <w:tcBorders>
              <w:top w:val="single" w:color="auto" w:sz="4" w:space="0"/>
              <w:left w:val="nil"/>
              <w:bottom w:val="single" w:color="auto" w:sz="4" w:space="0"/>
              <w:right w:val="nil"/>
            </w:tcBorders>
            <w:shd w:val="clear" w:color="auto" w:fill="auto"/>
            <w:vAlign w:val="center"/>
          </w:tcPr>
          <w:p w14:paraId="4267AEC5">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No power applied, standard network output -10dBm</w:t>
            </w:r>
          </w:p>
        </w:tc>
      </w:tr>
      <w:tr w14:paraId="649C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vMerge w:val="continue"/>
            <w:tcBorders>
              <w:top w:val="single" w:color="auto" w:sz="4" w:space="0"/>
              <w:left w:val="nil"/>
              <w:bottom w:val="single" w:color="auto" w:sz="4" w:space="0"/>
              <w:right w:val="nil"/>
            </w:tcBorders>
            <w:shd w:val="clear" w:color="auto" w:fill="auto"/>
            <w:vAlign w:val="center"/>
          </w:tcPr>
          <w:p w14:paraId="6B1825EB">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2481" w:type="dxa"/>
            <w:tcBorders>
              <w:top w:val="single" w:color="auto" w:sz="4" w:space="0"/>
              <w:left w:val="nil"/>
              <w:bottom w:val="single" w:color="auto" w:sz="4" w:space="0"/>
              <w:right w:val="nil"/>
            </w:tcBorders>
            <w:shd w:val="clear" w:color="auto" w:fill="auto"/>
            <w:vAlign w:val="center"/>
          </w:tcPr>
          <w:p w14:paraId="40D15CB4">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≤1.35</w:t>
            </w:r>
          </w:p>
        </w:tc>
        <w:tc>
          <w:tcPr>
            <w:tcW w:w="3281" w:type="dxa"/>
            <w:tcBorders>
              <w:top w:val="single" w:color="auto" w:sz="4" w:space="0"/>
              <w:left w:val="nil"/>
              <w:bottom w:val="single" w:color="auto" w:sz="4" w:space="0"/>
              <w:right w:val="nil"/>
            </w:tcBorders>
            <w:shd w:val="clear" w:color="auto" w:fill="auto"/>
            <w:vAlign w:val="center"/>
          </w:tcPr>
          <w:p w14:paraId="4EA233A4">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Power applied, bidirectional coupler testing</w:t>
            </w:r>
          </w:p>
        </w:tc>
      </w:tr>
      <w:tr w14:paraId="3A0B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625" w:type="dxa"/>
            <w:gridSpan w:val="2"/>
            <w:vMerge w:val="restart"/>
            <w:tcBorders>
              <w:top w:val="single" w:color="auto" w:sz="4" w:space="0"/>
              <w:left w:val="nil"/>
              <w:bottom w:val="single" w:color="auto" w:sz="4" w:space="0"/>
              <w:right w:val="nil"/>
            </w:tcBorders>
            <w:shd w:val="clear" w:color="auto" w:fill="auto"/>
            <w:vAlign w:val="center"/>
          </w:tcPr>
          <w:p w14:paraId="76E64567">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Temperature Test</w:t>
            </w:r>
          </w:p>
        </w:tc>
        <w:tc>
          <w:tcPr>
            <w:tcW w:w="1569" w:type="dxa"/>
            <w:tcBorders>
              <w:top w:val="single" w:color="auto" w:sz="4" w:space="0"/>
              <w:left w:val="nil"/>
              <w:bottom w:val="single" w:color="auto" w:sz="4" w:space="0"/>
              <w:right w:val="nil"/>
            </w:tcBorders>
            <w:shd w:val="clear" w:color="auto" w:fill="auto"/>
            <w:vAlign w:val="center"/>
          </w:tcPr>
          <w:p w14:paraId="4DC917A9">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 xml:space="preserve">Operating Environment Temperature </w:t>
            </w:r>
          </w:p>
        </w:tc>
        <w:tc>
          <w:tcPr>
            <w:tcW w:w="2481" w:type="dxa"/>
            <w:tcBorders>
              <w:top w:val="single" w:color="auto" w:sz="4" w:space="0"/>
              <w:left w:val="nil"/>
              <w:bottom w:val="single" w:color="auto" w:sz="4" w:space="0"/>
              <w:right w:val="nil"/>
            </w:tcBorders>
            <w:shd w:val="clear" w:color="auto" w:fill="auto"/>
            <w:vAlign w:val="center"/>
          </w:tcPr>
          <w:p w14:paraId="0864AC2D">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-10～+65℃</w:t>
            </w:r>
          </w:p>
        </w:tc>
        <w:tc>
          <w:tcPr>
            <w:tcW w:w="3281" w:type="dxa"/>
            <w:tcBorders>
              <w:top w:val="single" w:color="auto" w:sz="4" w:space="0"/>
              <w:left w:val="nil"/>
              <w:bottom w:val="single" w:color="auto" w:sz="4" w:space="0"/>
              <w:right w:val="nil"/>
            </w:tcBorders>
            <w:shd w:val="clear" w:color="auto" w:fill="auto"/>
            <w:vAlign w:val="center"/>
          </w:tcPr>
          <w:p w14:paraId="05A40BF2">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Low-temperature startup, monitoring functions properly</w:t>
            </w:r>
          </w:p>
        </w:tc>
      </w:tr>
      <w:tr w14:paraId="4F25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625" w:type="dxa"/>
            <w:gridSpan w:val="2"/>
            <w:vMerge w:val="continue"/>
            <w:tcBorders>
              <w:top w:val="single" w:color="auto" w:sz="4" w:space="0"/>
              <w:left w:val="nil"/>
              <w:bottom w:val="single" w:color="auto" w:sz="4" w:space="0"/>
              <w:right w:val="nil"/>
            </w:tcBorders>
            <w:shd w:val="clear" w:color="auto" w:fill="auto"/>
            <w:vAlign w:val="center"/>
          </w:tcPr>
          <w:p w14:paraId="37FB3E4A">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1569" w:type="dxa"/>
            <w:tcBorders>
              <w:top w:val="single" w:color="auto" w:sz="4" w:space="0"/>
              <w:left w:val="nil"/>
              <w:bottom w:val="single" w:color="auto" w:sz="4" w:space="0"/>
              <w:right w:val="nil"/>
            </w:tcBorders>
            <w:shd w:val="clear" w:color="auto" w:fill="auto"/>
            <w:vAlign w:val="center"/>
          </w:tcPr>
          <w:p w14:paraId="6EAFFC38">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Gain Stability</w:t>
            </w:r>
          </w:p>
        </w:tc>
        <w:tc>
          <w:tcPr>
            <w:tcW w:w="2481" w:type="dxa"/>
            <w:tcBorders>
              <w:top w:val="single" w:color="auto" w:sz="4" w:space="0"/>
              <w:left w:val="nil"/>
              <w:bottom w:val="single" w:color="auto" w:sz="4" w:space="0"/>
              <w:right w:val="nil"/>
            </w:tcBorders>
            <w:shd w:val="clear" w:color="auto" w:fill="auto"/>
            <w:vAlign w:val="center"/>
          </w:tcPr>
          <w:p w14:paraId="6AF02D02">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±1.5dB @-40℃～+65℃</w:t>
            </w:r>
          </w:p>
        </w:tc>
        <w:tc>
          <w:tcPr>
            <w:tcW w:w="3281" w:type="dxa"/>
            <w:tcBorders>
              <w:top w:val="single" w:color="auto" w:sz="4" w:space="0"/>
              <w:left w:val="nil"/>
              <w:bottom w:val="single" w:color="auto" w:sz="4" w:space="0"/>
              <w:right w:val="nil"/>
            </w:tcBorders>
            <w:shd w:val="clear" w:color="auto" w:fill="auto"/>
            <w:vAlign w:val="center"/>
          </w:tcPr>
          <w:p w14:paraId="78B88FC2">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p>
        </w:tc>
      </w:tr>
      <w:tr w14:paraId="17E3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625" w:type="dxa"/>
            <w:gridSpan w:val="2"/>
            <w:vMerge w:val="continue"/>
            <w:tcBorders>
              <w:top w:val="single" w:color="auto" w:sz="4" w:space="0"/>
              <w:left w:val="nil"/>
              <w:bottom w:val="single" w:color="auto" w:sz="4" w:space="0"/>
              <w:right w:val="nil"/>
            </w:tcBorders>
            <w:shd w:val="clear" w:color="auto" w:fill="auto"/>
            <w:vAlign w:val="center"/>
          </w:tcPr>
          <w:p w14:paraId="55A20FED">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1569" w:type="dxa"/>
            <w:tcBorders>
              <w:top w:val="single" w:color="auto" w:sz="4" w:space="0"/>
              <w:left w:val="nil"/>
              <w:bottom w:val="single" w:color="auto" w:sz="4" w:space="0"/>
              <w:right w:val="nil"/>
            </w:tcBorders>
            <w:shd w:val="clear" w:color="auto" w:fill="auto"/>
            <w:vAlign w:val="center"/>
          </w:tcPr>
          <w:p w14:paraId="05E2A6D6">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Power Stability</w:t>
            </w:r>
          </w:p>
        </w:tc>
        <w:tc>
          <w:tcPr>
            <w:tcW w:w="2481" w:type="dxa"/>
            <w:tcBorders>
              <w:top w:val="single" w:color="auto" w:sz="4" w:space="0"/>
              <w:left w:val="nil"/>
              <w:bottom w:val="single" w:color="auto" w:sz="4" w:space="0"/>
              <w:right w:val="nil"/>
            </w:tcBorders>
            <w:shd w:val="clear" w:color="auto" w:fill="auto"/>
            <w:vAlign w:val="center"/>
          </w:tcPr>
          <w:p w14:paraId="692720AA">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±1dB @-40℃～+65℃</w:t>
            </w:r>
          </w:p>
        </w:tc>
        <w:tc>
          <w:tcPr>
            <w:tcW w:w="3281" w:type="dxa"/>
            <w:tcBorders>
              <w:top w:val="single" w:color="auto" w:sz="4" w:space="0"/>
              <w:left w:val="nil"/>
              <w:bottom w:val="single" w:color="auto" w:sz="4" w:space="0"/>
              <w:right w:val="nil"/>
            </w:tcBorders>
            <w:shd w:val="clear" w:color="auto" w:fill="auto"/>
            <w:vAlign w:val="center"/>
          </w:tcPr>
          <w:p w14:paraId="777C0085">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p>
        </w:tc>
      </w:tr>
      <w:tr w14:paraId="64B2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6686EB67">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Power Requirements</w:t>
            </w:r>
          </w:p>
        </w:tc>
        <w:tc>
          <w:tcPr>
            <w:tcW w:w="2481" w:type="dxa"/>
            <w:tcBorders>
              <w:top w:val="single" w:color="auto" w:sz="4" w:space="0"/>
              <w:left w:val="nil"/>
              <w:bottom w:val="single" w:color="auto" w:sz="4" w:space="0"/>
              <w:right w:val="nil"/>
            </w:tcBorders>
            <w:shd w:val="clear" w:color="auto" w:fill="auto"/>
            <w:vAlign w:val="center"/>
          </w:tcPr>
          <w:p w14:paraId="2E7D427C">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≥8A @+28Vdc；</w:t>
            </w:r>
          </w:p>
        </w:tc>
        <w:tc>
          <w:tcPr>
            <w:tcW w:w="3281" w:type="dxa"/>
            <w:tcBorders>
              <w:top w:val="single" w:color="auto" w:sz="4" w:space="0"/>
              <w:left w:val="nil"/>
              <w:bottom w:val="single" w:color="auto" w:sz="4" w:space="0"/>
              <w:right w:val="nil"/>
            </w:tcBorders>
            <w:shd w:val="clear" w:color="auto" w:fill="auto"/>
            <w:vAlign w:val="center"/>
          </w:tcPr>
          <w:p w14:paraId="645C2C75">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Continuous wave output of 100W</w:t>
            </w:r>
          </w:p>
        </w:tc>
      </w:tr>
      <w:tr w14:paraId="4CD0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0C35B0E7">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Power interface, communication interface RS485</w:t>
            </w:r>
          </w:p>
        </w:tc>
        <w:tc>
          <w:tcPr>
            <w:tcW w:w="2481" w:type="dxa"/>
            <w:tcBorders>
              <w:top w:val="single" w:color="auto" w:sz="4" w:space="0"/>
              <w:left w:val="nil"/>
              <w:bottom w:val="single" w:color="auto" w:sz="4" w:space="0"/>
              <w:right w:val="nil"/>
            </w:tcBorders>
            <w:shd w:val="clear" w:color="auto" w:fill="auto"/>
            <w:vAlign w:val="center"/>
          </w:tcPr>
          <w:p w14:paraId="46D30D0D">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7W2</w:t>
            </w:r>
          </w:p>
        </w:tc>
        <w:tc>
          <w:tcPr>
            <w:tcW w:w="3281" w:type="dxa"/>
            <w:tcBorders>
              <w:top w:val="single" w:color="auto" w:sz="4" w:space="0"/>
              <w:left w:val="nil"/>
              <w:bottom w:val="single" w:color="auto" w:sz="4" w:space="0"/>
              <w:right w:val="nil"/>
            </w:tcBorders>
            <w:shd w:val="clear" w:color="auto" w:fill="auto"/>
            <w:vAlign w:val="center"/>
          </w:tcPr>
          <w:p w14:paraId="1BD00862">
            <w:pPr>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Male connector</w:t>
            </w:r>
          </w:p>
        </w:tc>
      </w:tr>
      <w:tr w14:paraId="5DAC1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349D0B36">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RF Output Connector</w:t>
            </w:r>
          </w:p>
        </w:tc>
        <w:tc>
          <w:tcPr>
            <w:tcW w:w="0" w:type="auto"/>
            <w:gridSpan w:val="2"/>
            <w:tcBorders>
              <w:top w:val="single" w:color="auto" w:sz="4" w:space="0"/>
              <w:left w:val="nil"/>
              <w:bottom w:val="single" w:color="auto" w:sz="4" w:space="0"/>
              <w:right w:val="nil"/>
            </w:tcBorders>
            <w:shd w:val="clear" w:color="auto" w:fill="auto"/>
            <w:vAlign w:val="center"/>
          </w:tcPr>
          <w:p w14:paraId="74996DD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N-F</w:t>
            </w:r>
          </w:p>
        </w:tc>
      </w:tr>
      <w:tr w14:paraId="2078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1BBD81B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LCD Liquid Crystal Display</w:t>
            </w:r>
          </w:p>
        </w:tc>
        <w:tc>
          <w:tcPr>
            <w:tcW w:w="0" w:type="auto"/>
            <w:gridSpan w:val="2"/>
            <w:tcBorders>
              <w:top w:val="single" w:color="auto" w:sz="4" w:space="0"/>
              <w:left w:val="nil"/>
              <w:bottom w:val="single" w:color="auto" w:sz="4" w:space="0"/>
              <w:right w:val="nil"/>
            </w:tcBorders>
            <w:shd w:val="clear" w:color="auto" w:fill="auto"/>
            <w:vAlign w:val="center"/>
          </w:tcPr>
          <w:p w14:paraId="33353AB3">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Display frequency, power, and on/off status.</w:t>
            </w:r>
          </w:p>
        </w:tc>
      </w:tr>
      <w:tr w14:paraId="6E00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1CE3CA09">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LED Module Indicators</w:t>
            </w:r>
          </w:p>
        </w:tc>
        <w:tc>
          <w:tcPr>
            <w:tcW w:w="0" w:type="auto"/>
            <w:gridSpan w:val="2"/>
            <w:tcBorders>
              <w:top w:val="single" w:color="auto" w:sz="4" w:space="0"/>
              <w:left w:val="nil"/>
              <w:bottom w:val="single" w:color="auto" w:sz="4" w:space="0"/>
              <w:right w:val="nil"/>
            </w:tcBorders>
            <w:shd w:val="clear" w:color="auto" w:fill="auto"/>
            <w:vAlign w:val="center"/>
          </w:tcPr>
          <w:p w14:paraId="01628A22">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POWER: Power indicator，RUN: Power operation indicator，ALARM: Alarm indicator</w:t>
            </w:r>
          </w:p>
        </w:tc>
      </w:tr>
      <w:tr w14:paraId="2130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636A7E58">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Built-in cooling fan</w:t>
            </w:r>
          </w:p>
        </w:tc>
        <w:tc>
          <w:tcPr>
            <w:tcW w:w="0" w:type="auto"/>
            <w:gridSpan w:val="2"/>
            <w:tcBorders>
              <w:top w:val="single" w:color="auto" w:sz="4" w:space="0"/>
              <w:left w:val="nil"/>
              <w:bottom w:val="single" w:color="auto" w:sz="4" w:space="0"/>
              <w:right w:val="nil"/>
            </w:tcBorders>
            <w:shd w:val="clear" w:color="auto" w:fill="auto"/>
            <w:vAlign w:val="center"/>
          </w:tcPr>
          <w:p w14:paraId="2956B75B">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The module can run independently.</w:t>
            </w:r>
          </w:p>
        </w:tc>
      </w:tr>
      <w:tr w14:paraId="4CE07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6C254AE4">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Size</w:t>
            </w:r>
          </w:p>
        </w:tc>
        <w:tc>
          <w:tcPr>
            <w:tcW w:w="0" w:type="auto"/>
            <w:gridSpan w:val="2"/>
            <w:tcBorders>
              <w:top w:val="single" w:color="auto" w:sz="4" w:space="0"/>
              <w:left w:val="nil"/>
              <w:bottom w:val="single" w:color="auto" w:sz="4" w:space="0"/>
              <w:right w:val="nil"/>
            </w:tcBorders>
            <w:shd w:val="clear" w:color="auto" w:fill="auto"/>
            <w:vAlign w:val="center"/>
          </w:tcPr>
          <w:p w14:paraId="3D6F844A">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eastAsia" w:ascii="Arial" w:hAnsi="Arial" w:eastAsia="黑体" w:cs="思源黑体 CN Medium"/>
                <w:color w:val="auto"/>
                <w:sz w:val="21"/>
                <w:szCs w:val="21"/>
              </w:rPr>
              <w:t>15</w:t>
            </w:r>
            <w:r>
              <w:rPr>
                <w:rFonts w:hint="eastAsia" w:ascii="Arial" w:hAnsi="Arial" w:eastAsia="黑体" w:cs="思源黑体 CN Medium"/>
                <w:color w:val="auto"/>
                <w:sz w:val="21"/>
                <w:szCs w:val="21"/>
                <w:lang w:val="en-US" w:eastAsia="zh-CN"/>
              </w:rPr>
              <w:t>7</w:t>
            </w:r>
            <w:r>
              <w:rPr>
                <w:rFonts w:hint="eastAsia" w:ascii="Arial" w:hAnsi="Arial" w:eastAsia="黑体" w:cs="思源黑体 CN Medium"/>
                <w:color w:val="auto"/>
                <w:sz w:val="21"/>
                <w:szCs w:val="21"/>
              </w:rPr>
              <w:t>*12</w:t>
            </w:r>
            <w:r>
              <w:rPr>
                <w:rFonts w:hint="eastAsia" w:ascii="Arial" w:hAnsi="Arial" w:eastAsia="黑体" w:cs="思源黑体 CN Medium"/>
                <w:color w:val="auto"/>
                <w:sz w:val="21"/>
                <w:szCs w:val="21"/>
                <w:lang w:val="en-US" w:eastAsia="zh-CN"/>
              </w:rPr>
              <w:t>3</w:t>
            </w:r>
            <w:r>
              <w:rPr>
                <w:rFonts w:hint="eastAsia" w:ascii="Arial" w:hAnsi="Arial" w:eastAsia="黑体" w:cs="思源黑体 CN Medium"/>
                <w:color w:val="auto"/>
                <w:sz w:val="21"/>
                <w:szCs w:val="21"/>
              </w:rPr>
              <w:t>*</w:t>
            </w:r>
            <w:r>
              <w:rPr>
                <w:rFonts w:hint="eastAsia" w:ascii="Arial" w:hAnsi="Arial" w:eastAsia="黑体" w:cs="思源黑体 CN Medium"/>
                <w:color w:val="auto"/>
                <w:sz w:val="21"/>
                <w:szCs w:val="21"/>
                <w:lang w:val="en-US" w:eastAsia="zh-CN"/>
              </w:rPr>
              <w:t>28</w:t>
            </w:r>
            <w:r>
              <w:rPr>
                <w:rFonts w:hint="eastAsia" w:ascii="Arial" w:hAnsi="Arial" w:eastAsia="黑体" w:cs="思源黑体 CN Medium"/>
                <w:color w:val="auto"/>
                <w:sz w:val="21"/>
                <w:szCs w:val="21"/>
              </w:rPr>
              <w:t>mm</w:t>
            </w:r>
          </w:p>
        </w:tc>
      </w:tr>
      <w:tr w14:paraId="1FCC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3"/>
            <w:tcBorders>
              <w:top w:val="single" w:color="auto" w:sz="4" w:space="0"/>
              <w:left w:val="nil"/>
              <w:bottom w:val="single" w:color="auto" w:sz="4" w:space="0"/>
              <w:right w:val="nil"/>
            </w:tcBorders>
            <w:shd w:val="clear" w:color="auto" w:fill="auto"/>
            <w:vAlign w:val="center"/>
          </w:tcPr>
          <w:p w14:paraId="132F682D">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Weight</w:t>
            </w:r>
          </w:p>
        </w:tc>
        <w:tc>
          <w:tcPr>
            <w:tcW w:w="0" w:type="auto"/>
            <w:gridSpan w:val="2"/>
            <w:tcBorders>
              <w:top w:val="single" w:color="auto" w:sz="4" w:space="0"/>
              <w:left w:val="nil"/>
              <w:bottom w:val="single" w:color="auto" w:sz="4" w:space="0"/>
              <w:right w:val="nil"/>
            </w:tcBorders>
            <w:shd w:val="clear" w:color="auto" w:fill="auto"/>
            <w:vAlign w:val="center"/>
          </w:tcPr>
          <w:p w14:paraId="01252FA0">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eastAsia" w:ascii="Arial" w:hAnsi="Arial" w:eastAsia="黑体" w:cs="Arial"/>
                <w:bCs/>
                <w:color w:val="auto"/>
                <w:sz w:val="21"/>
                <w:szCs w:val="21"/>
                <w:lang w:val="en-US" w:eastAsia="zh-CN"/>
              </w:rPr>
              <w:t>863</w:t>
            </w:r>
            <w:r>
              <w:rPr>
                <w:rFonts w:hint="default" w:ascii="Arial" w:hAnsi="Arial" w:eastAsia="黑体" w:cs="Arial"/>
                <w:bCs/>
                <w:color w:val="auto"/>
                <w:sz w:val="21"/>
                <w:szCs w:val="21"/>
              </w:rPr>
              <w:t>g</w:t>
            </w:r>
          </w:p>
        </w:tc>
      </w:tr>
    </w:tbl>
    <w:p w14:paraId="47CAD3C0">
      <w:pPr>
        <w:keepLines w:val="0"/>
        <w:pageBreakBefore w:val="0"/>
        <w:kinsoku/>
        <w:wordWrap/>
        <w:overflowPunct/>
        <w:topLinePunct w:val="0"/>
        <w:autoSpaceDE/>
        <w:autoSpaceDN/>
        <w:bidi w:val="0"/>
        <w:adjustRightInd/>
        <w:snapToGrid w:val="0"/>
        <w:spacing w:line="240" w:lineRule="auto"/>
        <w:rPr>
          <w:rFonts w:hint="default" w:ascii="Arial" w:hAnsi="Arial" w:eastAsia="宋体" w:cs="Arial"/>
          <w:b/>
          <w:color w:val="auto"/>
          <w:sz w:val="30"/>
          <w:szCs w:val="30"/>
        </w:rPr>
      </w:pPr>
      <w:r>
        <w:rPr>
          <w:rFonts w:hint="default" w:ascii="Arial" w:hAnsi="Arial" w:eastAsia="宋体" w:cs="Arial"/>
          <w:b/>
          <w:color w:val="auto"/>
          <w:sz w:val="30"/>
          <w:szCs w:val="30"/>
        </w:rPr>
        <w:br w:type="page"/>
      </w:r>
    </w:p>
    <w:p w14:paraId="1C70616A">
      <w:pPr>
        <w:keepLines w:val="0"/>
        <w:pageBreakBefore w:val="0"/>
        <w:numPr>
          <w:ilvl w:val="0"/>
          <w:numId w:val="0"/>
        </w:numPr>
        <w:kinsoku/>
        <w:wordWrap/>
        <w:overflowPunct/>
        <w:topLinePunct w:val="0"/>
        <w:autoSpaceDE/>
        <w:autoSpaceDN/>
        <w:bidi w:val="0"/>
        <w:adjustRightInd/>
        <w:snapToGrid w:val="0"/>
        <w:spacing w:line="240" w:lineRule="auto"/>
        <w:ind w:leftChars="0"/>
        <w:rPr>
          <w:rFonts w:hint="default" w:ascii="Arial" w:hAnsi="Arial" w:eastAsia="宋体" w:cs="Arial"/>
          <w:b/>
          <w:color w:val="auto"/>
          <w:sz w:val="30"/>
          <w:szCs w:val="30"/>
        </w:rPr>
      </w:pPr>
      <w:r>
        <w:rPr>
          <w:rFonts w:hint="default" w:ascii="Arial" w:hAnsi="Arial" w:eastAsia="宋体" w:cs="Arial"/>
          <w:b/>
          <w:color w:val="auto"/>
          <w:sz w:val="30"/>
          <w:szCs w:val="30"/>
        </w:rPr>
        <w:t>Module Software Configuration</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7"/>
        <w:gridCol w:w="2203"/>
        <w:gridCol w:w="3632"/>
        <w:gridCol w:w="2284"/>
      </w:tblGrid>
      <w:tr w14:paraId="1EBAF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2"/>
            <w:tcBorders>
              <w:top w:val="single" w:color="auto" w:sz="4" w:space="0"/>
              <w:left w:val="nil"/>
              <w:bottom w:val="single" w:color="auto" w:sz="4" w:space="0"/>
              <w:right w:val="nil"/>
            </w:tcBorders>
            <w:shd w:val="clear" w:color="auto" w:fill="auto"/>
            <w:vAlign w:val="center"/>
          </w:tcPr>
          <w:p w14:paraId="174A6BB1">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4"/>
              </w:rPr>
            </w:pPr>
            <w:r>
              <w:rPr>
                <w:rFonts w:hint="default" w:ascii="Arial" w:hAnsi="Arial" w:eastAsia="黑体" w:cs="Arial"/>
                <w:b/>
                <w:color w:val="auto"/>
                <w:sz w:val="24"/>
              </w:rPr>
              <w:t>Monitoring Function</w:t>
            </w:r>
          </w:p>
        </w:tc>
        <w:tc>
          <w:tcPr>
            <w:tcW w:w="0" w:type="auto"/>
            <w:tcBorders>
              <w:top w:val="single" w:color="auto" w:sz="4" w:space="0"/>
              <w:left w:val="nil"/>
              <w:bottom w:val="single" w:color="auto" w:sz="4" w:space="0"/>
              <w:right w:val="nil"/>
            </w:tcBorders>
            <w:shd w:val="clear" w:color="auto" w:fill="auto"/>
            <w:vAlign w:val="center"/>
          </w:tcPr>
          <w:p w14:paraId="1BA87353">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4"/>
              </w:rPr>
            </w:pPr>
            <w:r>
              <w:rPr>
                <w:rFonts w:hint="default" w:ascii="Arial" w:hAnsi="Arial" w:eastAsia="黑体" w:cs="Arial"/>
                <w:b/>
                <w:color w:val="auto"/>
                <w:sz w:val="24"/>
              </w:rPr>
              <w:t>Description</w:t>
            </w:r>
          </w:p>
        </w:tc>
        <w:tc>
          <w:tcPr>
            <w:tcW w:w="0" w:type="auto"/>
            <w:tcBorders>
              <w:top w:val="single" w:color="auto" w:sz="4" w:space="0"/>
              <w:left w:val="nil"/>
              <w:bottom w:val="single" w:color="auto" w:sz="4" w:space="0"/>
              <w:right w:val="nil"/>
            </w:tcBorders>
            <w:shd w:val="clear" w:color="auto" w:fill="auto"/>
            <w:vAlign w:val="center"/>
          </w:tcPr>
          <w:p w14:paraId="6F330E09">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4"/>
              </w:rPr>
            </w:pPr>
            <w:r>
              <w:rPr>
                <w:rFonts w:hint="default" w:ascii="Arial" w:hAnsi="Arial" w:eastAsia="黑体" w:cs="Arial"/>
                <w:b/>
                <w:color w:val="auto"/>
                <w:sz w:val="24"/>
              </w:rPr>
              <w:t>Remark</w:t>
            </w:r>
          </w:p>
        </w:tc>
      </w:tr>
      <w:tr w14:paraId="6F1D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restart"/>
            <w:tcBorders>
              <w:top w:val="single" w:color="auto" w:sz="4" w:space="0"/>
              <w:left w:val="nil"/>
              <w:bottom w:val="single" w:color="auto" w:sz="4" w:space="0"/>
              <w:right w:val="nil"/>
            </w:tcBorders>
            <w:shd w:val="clear" w:color="auto" w:fill="auto"/>
            <w:vAlign w:val="center"/>
          </w:tcPr>
          <w:p w14:paraId="2867265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Configuration Parameters</w:t>
            </w:r>
          </w:p>
        </w:tc>
        <w:tc>
          <w:tcPr>
            <w:tcW w:w="0" w:type="auto"/>
            <w:tcBorders>
              <w:top w:val="single" w:color="auto" w:sz="4" w:space="0"/>
              <w:left w:val="nil"/>
              <w:bottom w:val="single" w:color="auto" w:sz="4" w:space="0"/>
              <w:right w:val="nil"/>
            </w:tcBorders>
            <w:shd w:val="clear" w:color="auto" w:fill="auto"/>
            <w:vAlign w:val="center"/>
          </w:tcPr>
          <w:p w14:paraId="5560F7E1">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Switch</w:t>
            </w:r>
          </w:p>
        </w:tc>
        <w:tc>
          <w:tcPr>
            <w:tcW w:w="0" w:type="auto"/>
            <w:tcBorders>
              <w:top w:val="single" w:color="auto" w:sz="4" w:space="0"/>
              <w:left w:val="nil"/>
              <w:bottom w:val="single" w:color="auto" w:sz="4" w:space="0"/>
              <w:right w:val="nil"/>
            </w:tcBorders>
            <w:shd w:val="clear" w:color="auto" w:fill="auto"/>
            <w:vAlign w:val="center"/>
          </w:tcPr>
          <w:p w14:paraId="4570A85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Turn the amplifier on or off.</w:t>
            </w:r>
          </w:p>
        </w:tc>
        <w:tc>
          <w:tcPr>
            <w:tcW w:w="0" w:type="auto"/>
            <w:tcBorders>
              <w:top w:val="single" w:color="auto" w:sz="4" w:space="0"/>
              <w:left w:val="nil"/>
              <w:bottom w:val="single" w:color="auto" w:sz="4" w:space="0"/>
              <w:right w:val="nil"/>
            </w:tcBorders>
            <w:shd w:val="clear" w:color="auto" w:fill="auto"/>
            <w:vAlign w:val="center"/>
          </w:tcPr>
          <w:p w14:paraId="2A39C9CC">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23F8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0891B5C0">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72354D2F">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Alarm Switch</w:t>
            </w:r>
          </w:p>
        </w:tc>
        <w:tc>
          <w:tcPr>
            <w:tcW w:w="0" w:type="auto"/>
            <w:tcBorders>
              <w:top w:val="single" w:color="auto" w:sz="4" w:space="0"/>
              <w:left w:val="nil"/>
              <w:bottom w:val="single" w:color="auto" w:sz="4" w:space="0"/>
              <w:right w:val="nil"/>
            </w:tcBorders>
            <w:shd w:val="clear" w:color="auto" w:fill="auto"/>
            <w:vAlign w:val="center"/>
          </w:tcPr>
          <w:p w14:paraId="3BB1A57A">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Enable or disable the alarm function.</w:t>
            </w:r>
          </w:p>
        </w:tc>
        <w:tc>
          <w:tcPr>
            <w:tcW w:w="0" w:type="auto"/>
            <w:tcBorders>
              <w:top w:val="single" w:color="auto" w:sz="4" w:space="0"/>
              <w:left w:val="nil"/>
              <w:bottom w:val="single" w:color="auto" w:sz="4" w:space="0"/>
              <w:right w:val="nil"/>
            </w:tcBorders>
            <w:shd w:val="clear" w:color="auto" w:fill="auto"/>
            <w:vAlign w:val="center"/>
          </w:tcPr>
          <w:p w14:paraId="4D153F8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6877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2B3CF74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0F8E10B3">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Downlink Power Control</w:t>
            </w:r>
          </w:p>
        </w:tc>
        <w:tc>
          <w:tcPr>
            <w:tcW w:w="0" w:type="auto"/>
            <w:tcBorders>
              <w:top w:val="single" w:color="auto" w:sz="4" w:space="0"/>
              <w:left w:val="nil"/>
              <w:bottom w:val="single" w:color="auto" w:sz="4" w:space="0"/>
              <w:right w:val="nil"/>
            </w:tcBorders>
            <w:shd w:val="clear" w:color="auto" w:fill="auto"/>
            <w:vAlign w:val="center"/>
          </w:tcPr>
          <w:p w14:paraId="56A7E0FB">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Adjustable maximum output power of the amplifier, with an adjustable range of ≥20dB, and the ability to set high, medium, and low power levels.</w:t>
            </w:r>
          </w:p>
        </w:tc>
        <w:tc>
          <w:tcPr>
            <w:tcW w:w="0" w:type="auto"/>
            <w:tcBorders>
              <w:top w:val="single" w:color="auto" w:sz="4" w:space="0"/>
              <w:left w:val="nil"/>
              <w:bottom w:val="single" w:color="auto" w:sz="4" w:space="0"/>
              <w:right w:val="nil"/>
            </w:tcBorders>
            <w:shd w:val="clear" w:color="auto" w:fill="auto"/>
            <w:vAlign w:val="center"/>
          </w:tcPr>
          <w:p w14:paraId="5E97EDC6">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544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67A9B985">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42145260">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Over-Temperature Alarm</w:t>
            </w:r>
          </w:p>
        </w:tc>
        <w:tc>
          <w:tcPr>
            <w:tcW w:w="0" w:type="auto"/>
            <w:tcBorders>
              <w:top w:val="single" w:color="auto" w:sz="4" w:space="0"/>
              <w:left w:val="nil"/>
              <w:bottom w:val="single" w:color="auto" w:sz="4" w:space="0"/>
              <w:right w:val="nil"/>
            </w:tcBorders>
            <w:shd w:val="clear" w:color="auto" w:fill="auto"/>
            <w:vAlign w:val="center"/>
          </w:tcPr>
          <w:p w14:paraId="1919F263">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It will automatically shut down when the temperature exceeds 85°C and automatically resume operation when the temperature drops to 65°C</w:t>
            </w:r>
          </w:p>
        </w:tc>
        <w:tc>
          <w:tcPr>
            <w:tcW w:w="0" w:type="auto"/>
            <w:tcBorders>
              <w:top w:val="single" w:color="auto" w:sz="4" w:space="0"/>
              <w:left w:val="nil"/>
              <w:bottom w:val="single" w:color="auto" w:sz="4" w:space="0"/>
              <w:right w:val="nil"/>
            </w:tcBorders>
            <w:shd w:val="clear" w:color="auto" w:fill="auto"/>
            <w:vAlign w:val="center"/>
          </w:tcPr>
          <w:p w14:paraId="25EA2BFD">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775F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0C4D81D0">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394938CF">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Over-Power Alarm</w:t>
            </w:r>
          </w:p>
        </w:tc>
        <w:tc>
          <w:tcPr>
            <w:tcW w:w="0" w:type="auto"/>
            <w:tcBorders>
              <w:top w:val="single" w:color="auto" w:sz="4" w:space="0"/>
              <w:left w:val="nil"/>
              <w:bottom w:val="single" w:color="auto" w:sz="4" w:space="0"/>
              <w:right w:val="nil"/>
            </w:tcBorders>
            <w:shd w:val="clear" w:color="auto" w:fill="auto"/>
            <w:vAlign w:val="center"/>
          </w:tcPr>
          <w:p w14:paraId="64D5E9DF">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The system will be automatically shut down when the actual power value is 2dB higher than the downlink ALC control threshold.</w:t>
            </w:r>
          </w:p>
        </w:tc>
        <w:tc>
          <w:tcPr>
            <w:tcW w:w="0" w:type="auto"/>
            <w:tcBorders>
              <w:top w:val="single" w:color="auto" w:sz="4" w:space="0"/>
              <w:left w:val="nil"/>
              <w:bottom w:val="single" w:color="auto" w:sz="4" w:space="0"/>
              <w:right w:val="nil"/>
            </w:tcBorders>
            <w:shd w:val="clear" w:color="auto" w:fill="auto"/>
            <w:vAlign w:val="center"/>
          </w:tcPr>
          <w:p w14:paraId="5EA2333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26112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CD396D9">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694E0DD0">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Standing Wave Alarm</w:t>
            </w:r>
          </w:p>
        </w:tc>
        <w:tc>
          <w:tcPr>
            <w:tcW w:w="0" w:type="auto"/>
            <w:tcBorders>
              <w:top w:val="single" w:color="auto" w:sz="4" w:space="0"/>
              <w:left w:val="nil"/>
              <w:bottom w:val="single" w:color="auto" w:sz="4" w:space="0"/>
              <w:right w:val="nil"/>
            </w:tcBorders>
            <w:shd w:val="clear" w:color="auto" w:fill="auto"/>
            <w:vAlign w:val="center"/>
          </w:tcPr>
          <w:p w14:paraId="50F7C12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Automatically shut down when the standing wave ratio is greater than 4</w:t>
            </w:r>
          </w:p>
        </w:tc>
        <w:tc>
          <w:tcPr>
            <w:tcW w:w="0" w:type="auto"/>
            <w:tcBorders>
              <w:top w:val="single" w:color="auto" w:sz="4" w:space="0"/>
              <w:left w:val="nil"/>
              <w:bottom w:val="single" w:color="auto" w:sz="4" w:space="0"/>
              <w:right w:val="nil"/>
            </w:tcBorders>
            <w:shd w:val="clear" w:color="auto" w:fill="auto"/>
            <w:vAlign w:val="center"/>
          </w:tcPr>
          <w:p w14:paraId="58ED69B1">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6FFD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418C1F77">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63E56718">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Over-Current Alarm</w:t>
            </w:r>
          </w:p>
        </w:tc>
        <w:tc>
          <w:tcPr>
            <w:tcW w:w="0" w:type="auto"/>
            <w:tcBorders>
              <w:top w:val="single" w:color="auto" w:sz="4" w:space="0"/>
              <w:left w:val="nil"/>
              <w:bottom w:val="single" w:color="auto" w:sz="4" w:space="0"/>
              <w:right w:val="nil"/>
            </w:tcBorders>
            <w:shd w:val="clear" w:color="auto" w:fill="auto"/>
            <w:vAlign w:val="center"/>
          </w:tcPr>
          <w:p w14:paraId="6CFEA641">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Automatically shut down when current exceeds 12A</w:t>
            </w:r>
          </w:p>
        </w:tc>
        <w:tc>
          <w:tcPr>
            <w:tcW w:w="0" w:type="auto"/>
            <w:tcBorders>
              <w:top w:val="single" w:color="auto" w:sz="4" w:space="0"/>
              <w:left w:val="nil"/>
              <w:bottom w:val="single" w:color="auto" w:sz="4" w:space="0"/>
              <w:right w:val="nil"/>
            </w:tcBorders>
            <w:shd w:val="clear" w:color="auto" w:fill="auto"/>
            <w:vAlign w:val="center"/>
          </w:tcPr>
          <w:p w14:paraId="277E417D">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513C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F631FE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490D6517">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Under-Power Alarm</w:t>
            </w:r>
          </w:p>
        </w:tc>
        <w:tc>
          <w:tcPr>
            <w:tcW w:w="0" w:type="auto"/>
            <w:tcBorders>
              <w:top w:val="single" w:color="auto" w:sz="4" w:space="0"/>
              <w:left w:val="nil"/>
              <w:bottom w:val="single" w:color="auto" w:sz="4" w:space="0"/>
              <w:right w:val="nil"/>
            </w:tcBorders>
            <w:shd w:val="clear" w:color="auto" w:fill="auto"/>
            <w:vAlign w:val="center"/>
          </w:tcPr>
          <w:p w14:paraId="19745EF6">
            <w:pPr>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Arial" w:hAnsi="Arial" w:eastAsia="黑体" w:cs="Arial"/>
                <w:bCs/>
                <w:color w:val="auto"/>
                <w:sz w:val="21"/>
                <w:szCs w:val="21"/>
                <w:lang w:val="en-US" w:eastAsia="zh-CN"/>
              </w:rPr>
            </w:pPr>
            <w:r>
              <w:rPr>
                <w:rFonts w:hint="default" w:ascii="Arial" w:hAnsi="Arial" w:eastAsia="黑体" w:cs="Arial"/>
                <w:bCs/>
                <w:color w:val="auto"/>
                <w:sz w:val="21"/>
                <w:szCs w:val="21"/>
              </w:rPr>
              <w:t>When the power is less than 37dBm, an under-power alarm is displayed.</w:t>
            </w:r>
            <w:r>
              <w:rPr>
                <w:rFonts w:hint="eastAsia" w:ascii="Arial" w:hAnsi="Arial" w:eastAsia="黑体" w:cs="Arial"/>
                <w:bCs/>
                <w:color w:val="auto"/>
                <w:sz w:val="21"/>
                <w:szCs w:val="21"/>
                <w:lang w:val="en-US" w:eastAsia="zh-CN"/>
              </w:rPr>
              <w:t xml:space="preserve"> </w:t>
            </w:r>
          </w:p>
        </w:tc>
        <w:tc>
          <w:tcPr>
            <w:tcW w:w="0" w:type="auto"/>
            <w:tcBorders>
              <w:top w:val="single" w:color="auto" w:sz="4" w:space="0"/>
              <w:left w:val="nil"/>
              <w:bottom w:val="single" w:color="auto" w:sz="4" w:space="0"/>
              <w:right w:val="nil"/>
            </w:tcBorders>
            <w:shd w:val="clear" w:color="auto" w:fill="auto"/>
            <w:vAlign w:val="center"/>
          </w:tcPr>
          <w:p w14:paraId="68DDD38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666E1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4E8961D6">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729F30B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Over-Voltage Alarm</w:t>
            </w:r>
          </w:p>
        </w:tc>
        <w:tc>
          <w:tcPr>
            <w:tcW w:w="0" w:type="auto"/>
            <w:tcBorders>
              <w:top w:val="single" w:color="auto" w:sz="4" w:space="0"/>
              <w:left w:val="nil"/>
              <w:bottom w:val="single" w:color="auto" w:sz="4" w:space="0"/>
              <w:right w:val="nil"/>
            </w:tcBorders>
            <w:shd w:val="clear" w:color="auto" w:fill="auto"/>
            <w:vAlign w:val="center"/>
          </w:tcPr>
          <w:p w14:paraId="5D3F9F86">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If the amplifier voltage exceeds 32V, the amplifier will automatically shut down.</w:t>
            </w:r>
          </w:p>
        </w:tc>
        <w:tc>
          <w:tcPr>
            <w:tcW w:w="0" w:type="auto"/>
            <w:tcBorders>
              <w:top w:val="single" w:color="auto" w:sz="4" w:space="0"/>
              <w:left w:val="nil"/>
              <w:bottom w:val="single" w:color="auto" w:sz="4" w:space="0"/>
              <w:right w:val="nil"/>
            </w:tcBorders>
            <w:shd w:val="clear" w:color="auto" w:fill="auto"/>
            <w:vAlign w:val="center"/>
          </w:tcPr>
          <w:p w14:paraId="205E570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5F16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2B0E566F">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3C3308F1">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Under-Voltage Alarm</w:t>
            </w:r>
          </w:p>
        </w:tc>
        <w:tc>
          <w:tcPr>
            <w:tcW w:w="0" w:type="auto"/>
            <w:tcBorders>
              <w:top w:val="single" w:color="auto" w:sz="4" w:space="0"/>
              <w:left w:val="nil"/>
              <w:bottom w:val="single" w:color="auto" w:sz="4" w:space="0"/>
              <w:right w:val="nil"/>
            </w:tcBorders>
            <w:shd w:val="clear" w:color="auto" w:fill="auto"/>
            <w:vAlign w:val="center"/>
          </w:tcPr>
          <w:p w14:paraId="218F15DB">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If the amplifier voltage is less than 20V, it will display an under-voltage alarm.</w:t>
            </w:r>
          </w:p>
        </w:tc>
        <w:tc>
          <w:tcPr>
            <w:tcW w:w="0" w:type="auto"/>
            <w:tcBorders>
              <w:top w:val="single" w:color="auto" w:sz="4" w:space="0"/>
              <w:left w:val="nil"/>
              <w:bottom w:val="single" w:color="auto" w:sz="4" w:space="0"/>
              <w:right w:val="nil"/>
            </w:tcBorders>
            <w:shd w:val="clear" w:color="auto" w:fill="auto"/>
            <w:vAlign w:val="center"/>
          </w:tcPr>
          <w:p w14:paraId="1424BC0B">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思源黑体 CN Medium" w:cs="Arial"/>
                <w:snapToGrid w:val="0"/>
                <w:color w:val="auto"/>
                <w:sz w:val="21"/>
                <w:szCs w:val="21"/>
              </w:rPr>
            </w:pPr>
          </w:p>
        </w:tc>
      </w:tr>
      <w:tr w14:paraId="5C63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restart"/>
            <w:tcBorders>
              <w:top w:val="single" w:color="auto" w:sz="4" w:space="0"/>
              <w:left w:val="nil"/>
              <w:bottom w:val="single" w:color="auto" w:sz="4" w:space="0"/>
              <w:right w:val="nil"/>
            </w:tcBorders>
            <w:shd w:val="clear" w:color="auto" w:fill="auto"/>
            <w:vAlign w:val="center"/>
          </w:tcPr>
          <w:p w14:paraId="2075F2B6">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Query Parameters</w:t>
            </w:r>
          </w:p>
        </w:tc>
        <w:tc>
          <w:tcPr>
            <w:tcW w:w="0" w:type="auto"/>
            <w:tcBorders>
              <w:top w:val="single" w:color="auto" w:sz="4" w:space="0"/>
              <w:left w:val="nil"/>
              <w:bottom w:val="single" w:color="auto" w:sz="4" w:space="0"/>
              <w:right w:val="nil"/>
            </w:tcBorders>
            <w:shd w:val="clear" w:color="auto" w:fill="auto"/>
            <w:vAlign w:val="center"/>
          </w:tcPr>
          <w:p w14:paraId="18BD73B7">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Amplifier Switch Status</w:t>
            </w:r>
          </w:p>
        </w:tc>
        <w:tc>
          <w:tcPr>
            <w:tcW w:w="0" w:type="auto"/>
            <w:tcBorders>
              <w:top w:val="single" w:color="auto" w:sz="4" w:space="0"/>
              <w:left w:val="nil"/>
              <w:bottom w:val="single" w:color="auto" w:sz="4" w:space="0"/>
              <w:right w:val="nil"/>
            </w:tcBorders>
            <w:shd w:val="clear" w:color="auto" w:fill="auto"/>
            <w:vAlign w:val="center"/>
          </w:tcPr>
          <w:p w14:paraId="0DB12E26">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If the amplifier is set to "OFF", the corresponding query should indicate that the amplifier is in the "OFF" state. Conversely, if the amplifier is set to "ON", the query should indicate that the amplifier is in the "ON" state.</w:t>
            </w:r>
          </w:p>
        </w:tc>
        <w:tc>
          <w:tcPr>
            <w:tcW w:w="0" w:type="auto"/>
            <w:tcBorders>
              <w:top w:val="single" w:color="auto" w:sz="4" w:space="0"/>
              <w:left w:val="nil"/>
              <w:bottom w:val="single" w:color="auto" w:sz="4" w:space="0"/>
              <w:right w:val="nil"/>
            </w:tcBorders>
            <w:shd w:val="clear" w:color="auto" w:fill="auto"/>
            <w:vAlign w:val="center"/>
          </w:tcPr>
          <w:p w14:paraId="52D89EC1">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74B1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498B13C0">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0BAF1F5C">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Downlink Output Power Level</w:t>
            </w:r>
          </w:p>
        </w:tc>
        <w:tc>
          <w:tcPr>
            <w:tcW w:w="0" w:type="auto"/>
            <w:tcBorders>
              <w:top w:val="single" w:color="auto" w:sz="4" w:space="0"/>
              <w:left w:val="nil"/>
              <w:bottom w:val="single" w:color="auto" w:sz="4" w:space="0"/>
              <w:right w:val="nil"/>
            </w:tcBorders>
            <w:shd w:val="clear" w:color="auto" w:fill="auto"/>
            <w:vAlign w:val="center"/>
          </w:tcPr>
          <w:p w14:paraId="4B595713">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Detect the output power value of the amplifier within the detection range of (Pomax+2, Pomax-20).</w:t>
            </w:r>
          </w:p>
        </w:tc>
        <w:tc>
          <w:tcPr>
            <w:tcW w:w="0" w:type="auto"/>
            <w:tcBorders>
              <w:top w:val="single" w:color="auto" w:sz="4" w:space="0"/>
              <w:left w:val="nil"/>
              <w:bottom w:val="single" w:color="auto" w:sz="4" w:space="0"/>
              <w:right w:val="nil"/>
            </w:tcBorders>
            <w:shd w:val="clear" w:color="auto" w:fill="auto"/>
            <w:vAlign w:val="center"/>
          </w:tcPr>
          <w:p w14:paraId="60A94661">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Detection accuracy: Pout±1dB.</w:t>
            </w:r>
          </w:p>
        </w:tc>
      </w:tr>
      <w:tr w14:paraId="43DA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53313F82">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0CAE77C4">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Downlink Standing Wave Ratio</w:t>
            </w:r>
          </w:p>
        </w:tc>
        <w:tc>
          <w:tcPr>
            <w:tcW w:w="0" w:type="auto"/>
            <w:tcBorders>
              <w:top w:val="single" w:color="auto" w:sz="4" w:space="0"/>
              <w:left w:val="nil"/>
              <w:bottom w:val="single" w:color="auto" w:sz="4" w:space="0"/>
              <w:right w:val="nil"/>
            </w:tcBorders>
            <w:shd w:val="clear" w:color="auto" w:fill="auto"/>
            <w:vAlign w:val="center"/>
          </w:tcPr>
          <w:p w14:paraId="457F823A">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The normal standing wave ratio is 1.2. When there is a mismatched load, the query value will be 4.0.</w:t>
            </w:r>
          </w:p>
        </w:tc>
        <w:tc>
          <w:tcPr>
            <w:tcW w:w="0" w:type="auto"/>
            <w:tcBorders>
              <w:top w:val="single" w:color="auto" w:sz="4" w:space="0"/>
              <w:left w:val="nil"/>
              <w:bottom w:val="single" w:color="auto" w:sz="4" w:space="0"/>
              <w:right w:val="nil"/>
            </w:tcBorders>
            <w:shd w:val="clear" w:color="auto" w:fill="auto"/>
            <w:vAlign w:val="center"/>
          </w:tcPr>
          <w:p w14:paraId="67CF2D96">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579C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A9400C8">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701EA8D2">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Temperature Query</w:t>
            </w:r>
          </w:p>
        </w:tc>
        <w:tc>
          <w:tcPr>
            <w:tcW w:w="0" w:type="auto"/>
            <w:tcBorders>
              <w:top w:val="single" w:color="auto" w:sz="4" w:space="0"/>
              <w:left w:val="nil"/>
              <w:bottom w:val="single" w:color="auto" w:sz="4" w:space="0"/>
              <w:right w:val="nil"/>
            </w:tcBorders>
            <w:shd w:val="clear" w:color="auto" w:fill="auto"/>
            <w:vAlign w:val="center"/>
          </w:tcPr>
          <w:p w14:paraId="5CF04F6B">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Detect the internal temperature of the module within a detection range of -40℃ to +100℃.</w:t>
            </w:r>
          </w:p>
        </w:tc>
        <w:tc>
          <w:tcPr>
            <w:tcW w:w="0" w:type="auto"/>
            <w:tcBorders>
              <w:top w:val="single" w:color="auto" w:sz="4" w:space="0"/>
              <w:left w:val="nil"/>
              <w:bottom w:val="single" w:color="auto" w:sz="4" w:space="0"/>
              <w:right w:val="nil"/>
            </w:tcBorders>
            <w:shd w:val="clear" w:color="auto" w:fill="auto"/>
            <w:vAlign w:val="center"/>
          </w:tcPr>
          <w:p w14:paraId="435C3E7F">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Detection error: ±3°C.</w:t>
            </w:r>
          </w:p>
        </w:tc>
      </w:tr>
      <w:tr w14:paraId="580D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1AA5F6AF">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7F750897">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ALC Value Query</w:t>
            </w:r>
          </w:p>
        </w:tc>
        <w:tc>
          <w:tcPr>
            <w:tcW w:w="0" w:type="auto"/>
            <w:tcBorders>
              <w:top w:val="single" w:color="auto" w:sz="4" w:space="0"/>
              <w:left w:val="nil"/>
              <w:bottom w:val="single" w:color="auto" w:sz="4" w:space="0"/>
              <w:right w:val="nil"/>
            </w:tcBorders>
            <w:shd w:val="clear" w:color="auto" w:fill="auto"/>
            <w:vAlign w:val="center"/>
          </w:tcPr>
          <w:p w14:paraId="71749423">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The displayed value is equal to the actual set ALC value.</w:t>
            </w:r>
          </w:p>
        </w:tc>
        <w:tc>
          <w:tcPr>
            <w:tcW w:w="0" w:type="auto"/>
            <w:tcBorders>
              <w:top w:val="single" w:color="auto" w:sz="4" w:space="0"/>
              <w:left w:val="nil"/>
              <w:bottom w:val="single" w:color="auto" w:sz="4" w:space="0"/>
              <w:right w:val="nil"/>
            </w:tcBorders>
            <w:shd w:val="clear" w:color="auto" w:fill="auto"/>
            <w:vAlign w:val="center"/>
          </w:tcPr>
          <w:p w14:paraId="0DB538D9">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1C7D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239C6254">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2B0ADC3D">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Voltage Detection</w:t>
            </w:r>
          </w:p>
        </w:tc>
        <w:tc>
          <w:tcPr>
            <w:tcW w:w="0" w:type="auto"/>
            <w:tcBorders>
              <w:top w:val="single" w:color="auto" w:sz="4" w:space="0"/>
              <w:left w:val="nil"/>
              <w:bottom w:val="single" w:color="auto" w:sz="4" w:space="0"/>
              <w:right w:val="nil"/>
            </w:tcBorders>
            <w:shd w:val="clear" w:color="auto" w:fill="auto"/>
            <w:vAlign w:val="center"/>
          </w:tcPr>
          <w:p w14:paraId="6375B954">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Detecting module operating voltage.</w:t>
            </w:r>
          </w:p>
        </w:tc>
        <w:tc>
          <w:tcPr>
            <w:tcW w:w="0" w:type="auto"/>
            <w:tcBorders>
              <w:top w:val="single" w:color="auto" w:sz="4" w:space="0"/>
              <w:left w:val="nil"/>
              <w:bottom w:val="single" w:color="auto" w:sz="4" w:space="0"/>
              <w:right w:val="nil"/>
            </w:tcBorders>
            <w:shd w:val="clear" w:color="auto" w:fill="auto"/>
            <w:vAlign w:val="center"/>
          </w:tcPr>
          <w:p w14:paraId="0DF17A86">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76A0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3B6B64BB">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1E89AF35">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Current Detection</w:t>
            </w:r>
          </w:p>
        </w:tc>
        <w:tc>
          <w:tcPr>
            <w:tcW w:w="0" w:type="auto"/>
            <w:tcBorders>
              <w:top w:val="single" w:color="auto" w:sz="4" w:space="0"/>
              <w:left w:val="nil"/>
              <w:bottom w:val="single" w:color="auto" w:sz="4" w:space="0"/>
              <w:right w:val="nil"/>
            </w:tcBorders>
            <w:shd w:val="clear" w:color="auto" w:fill="auto"/>
            <w:vAlign w:val="center"/>
          </w:tcPr>
          <w:p w14:paraId="5584A7C9">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Detecting module operating current.</w:t>
            </w:r>
          </w:p>
        </w:tc>
        <w:tc>
          <w:tcPr>
            <w:tcW w:w="0" w:type="auto"/>
            <w:tcBorders>
              <w:top w:val="single" w:color="auto" w:sz="4" w:space="0"/>
              <w:left w:val="nil"/>
              <w:bottom w:val="single" w:color="auto" w:sz="4" w:space="0"/>
              <w:right w:val="nil"/>
            </w:tcBorders>
            <w:shd w:val="clear" w:color="auto" w:fill="auto"/>
            <w:vAlign w:val="center"/>
          </w:tcPr>
          <w:p w14:paraId="62AFF3A2">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78BB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restart"/>
            <w:tcBorders>
              <w:top w:val="single" w:color="auto" w:sz="4" w:space="0"/>
              <w:left w:val="nil"/>
              <w:bottom w:val="single" w:color="auto" w:sz="4" w:space="0"/>
              <w:right w:val="nil"/>
            </w:tcBorders>
            <w:shd w:val="clear" w:color="auto" w:fill="auto"/>
            <w:vAlign w:val="center"/>
          </w:tcPr>
          <w:p w14:paraId="1456E922">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Signal Source Configuration</w:t>
            </w:r>
          </w:p>
        </w:tc>
        <w:tc>
          <w:tcPr>
            <w:tcW w:w="0" w:type="auto"/>
            <w:tcBorders>
              <w:top w:val="single" w:color="auto" w:sz="4" w:space="0"/>
              <w:left w:val="nil"/>
              <w:bottom w:val="single" w:color="auto" w:sz="4" w:space="0"/>
              <w:right w:val="nil"/>
            </w:tcBorders>
            <w:shd w:val="clear" w:color="auto" w:fill="auto"/>
            <w:vAlign w:val="center"/>
          </w:tcPr>
          <w:p w14:paraId="11A67320">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Frequency Setting Mode 1</w:t>
            </w:r>
          </w:p>
        </w:tc>
        <w:tc>
          <w:tcPr>
            <w:tcW w:w="0" w:type="auto"/>
            <w:tcBorders>
              <w:top w:val="single" w:color="auto" w:sz="4" w:space="0"/>
              <w:left w:val="nil"/>
              <w:bottom w:val="single" w:color="auto" w:sz="4" w:space="0"/>
              <w:right w:val="nil"/>
            </w:tcBorders>
            <w:shd w:val="clear" w:color="auto" w:fill="auto"/>
            <w:vAlign w:val="center"/>
          </w:tcPr>
          <w:p w14:paraId="7F7E36C9">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Setting arbitrary single frequency point within the range.</w:t>
            </w:r>
          </w:p>
        </w:tc>
        <w:tc>
          <w:tcPr>
            <w:tcW w:w="0" w:type="auto"/>
            <w:vMerge w:val="restart"/>
            <w:tcBorders>
              <w:top w:val="single" w:color="auto" w:sz="4" w:space="0"/>
              <w:left w:val="nil"/>
              <w:bottom w:val="single" w:color="auto" w:sz="4" w:space="0"/>
              <w:right w:val="nil"/>
            </w:tcBorders>
            <w:shd w:val="clear" w:color="auto" w:fill="auto"/>
            <w:vAlign w:val="center"/>
          </w:tcPr>
          <w:p w14:paraId="61C9DBCB">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Frequency setting accuracy of 1MHz, maximum frequency bandwidth of 500MHz, and highest frequency of 6GHz.</w:t>
            </w:r>
          </w:p>
        </w:tc>
      </w:tr>
      <w:tr w14:paraId="35EF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6502C91E">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6F10A110">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Frequency Setting Mode 2</w:t>
            </w:r>
          </w:p>
        </w:tc>
        <w:tc>
          <w:tcPr>
            <w:tcW w:w="0" w:type="auto"/>
            <w:tcBorders>
              <w:top w:val="single" w:color="auto" w:sz="4" w:space="0"/>
              <w:left w:val="nil"/>
              <w:bottom w:val="single" w:color="auto" w:sz="4" w:space="0"/>
              <w:right w:val="nil"/>
            </w:tcBorders>
            <w:shd w:val="clear" w:color="auto" w:fill="auto"/>
            <w:vAlign w:val="center"/>
          </w:tcPr>
          <w:p w14:paraId="2D1095A0">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Configure wideband sweep mode, frequency, interval, step size, and other parameters.</w:t>
            </w:r>
          </w:p>
        </w:tc>
        <w:tc>
          <w:tcPr>
            <w:tcW w:w="0" w:type="auto"/>
            <w:vMerge w:val="continue"/>
            <w:tcBorders>
              <w:top w:val="single" w:color="auto" w:sz="4" w:space="0"/>
              <w:left w:val="nil"/>
              <w:bottom w:val="single" w:color="auto" w:sz="4" w:space="0"/>
              <w:right w:val="nil"/>
            </w:tcBorders>
            <w:shd w:val="clear" w:color="auto" w:fill="auto"/>
            <w:vAlign w:val="center"/>
          </w:tcPr>
          <w:p w14:paraId="50E0E30A">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4AB7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vMerge w:val="continue"/>
            <w:tcBorders>
              <w:top w:val="single" w:color="auto" w:sz="4" w:space="0"/>
              <w:left w:val="nil"/>
              <w:bottom w:val="single" w:color="auto" w:sz="4" w:space="0"/>
              <w:right w:val="nil"/>
            </w:tcBorders>
            <w:shd w:val="clear" w:color="auto" w:fill="auto"/>
            <w:vAlign w:val="center"/>
          </w:tcPr>
          <w:p w14:paraId="5C27AE72">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p>
        </w:tc>
        <w:tc>
          <w:tcPr>
            <w:tcW w:w="0" w:type="auto"/>
            <w:tcBorders>
              <w:top w:val="single" w:color="auto" w:sz="4" w:space="0"/>
              <w:left w:val="nil"/>
              <w:bottom w:val="single" w:color="auto" w:sz="4" w:space="0"/>
              <w:right w:val="nil"/>
            </w:tcBorders>
            <w:shd w:val="clear" w:color="auto" w:fill="auto"/>
            <w:vAlign w:val="center"/>
          </w:tcPr>
          <w:p w14:paraId="4E8044FE">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Frequency Setting Mode 3</w:t>
            </w:r>
          </w:p>
        </w:tc>
        <w:tc>
          <w:tcPr>
            <w:tcW w:w="0" w:type="auto"/>
            <w:tcBorders>
              <w:top w:val="single" w:color="auto" w:sz="4" w:space="0"/>
              <w:left w:val="nil"/>
              <w:bottom w:val="single" w:color="auto" w:sz="4" w:space="0"/>
              <w:right w:val="nil"/>
            </w:tcBorders>
            <w:shd w:val="clear" w:color="auto" w:fill="auto"/>
            <w:vAlign w:val="center"/>
          </w:tcPr>
          <w:p w14:paraId="3CF05A28">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Set any 4 sub-frequency segments within the bandwidth, with the sub-segments incrementing.</w:t>
            </w:r>
          </w:p>
        </w:tc>
        <w:tc>
          <w:tcPr>
            <w:tcW w:w="0" w:type="auto"/>
            <w:vMerge w:val="continue"/>
            <w:tcBorders>
              <w:top w:val="single" w:color="auto" w:sz="4" w:space="0"/>
              <w:left w:val="nil"/>
              <w:bottom w:val="single" w:color="auto" w:sz="4" w:space="0"/>
              <w:right w:val="nil"/>
            </w:tcBorders>
            <w:shd w:val="clear" w:color="auto" w:fill="auto"/>
            <w:vAlign w:val="center"/>
          </w:tcPr>
          <w:p w14:paraId="6717CF39">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1A1B2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2"/>
            <w:tcBorders>
              <w:top w:val="single" w:color="auto" w:sz="4" w:space="0"/>
              <w:left w:val="nil"/>
              <w:bottom w:val="single" w:color="auto" w:sz="4" w:space="0"/>
              <w:right w:val="nil"/>
            </w:tcBorders>
            <w:shd w:val="clear" w:color="auto" w:fill="auto"/>
            <w:vAlign w:val="center"/>
          </w:tcPr>
          <w:p w14:paraId="15D6F21B">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Module Communication Protocol</w:t>
            </w:r>
          </w:p>
        </w:tc>
        <w:tc>
          <w:tcPr>
            <w:tcW w:w="0" w:type="auto"/>
            <w:tcBorders>
              <w:top w:val="single" w:color="auto" w:sz="4" w:space="0"/>
              <w:left w:val="nil"/>
              <w:bottom w:val="single" w:color="auto" w:sz="4" w:space="0"/>
              <w:right w:val="nil"/>
            </w:tcBorders>
            <w:shd w:val="clear" w:color="auto" w:fill="auto"/>
            <w:vAlign w:val="center"/>
          </w:tcPr>
          <w:p w14:paraId="0967B574">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RS485</w:t>
            </w:r>
          </w:p>
        </w:tc>
        <w:tc>
          <w:tcPr>
            <w:tcW w:w="0" w:type="auto"/>
            <w:tcBorders>
              <w:top w:val="single" w:color="auto" w:sz="4" w:space="0"/>
              <w:left w:val="nil"/>
              <w:bottom w:val="single" w:color="auto" w:sz="4" w:space="0"/>
              <w:right w:val="nil"/>
            </w:tcBorders>
            <w:shd w:val="clear" w:color="auto" w:fill="auto"/>
            <w:vAlign w:val="center"/>
          </w:tcPr>
          <w:p w14:paraId="4F9B0097">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r w14:paraId="5771C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0" w:type="auto"/>
            <w:gridSpan w:val="2"/>
            <w:tcBorders>
              <w:top w:val="single" w:color="auto" w:sz="4" w:space="0"/>
              <w:left w:val="nil"/>
              <w:bottom w:val="single" w:color="auto" w:sz="4" w:space="0"/>
              <w:right w:val="nil"/>
            </w:tcBorders>
            <w:shd w:val="clear" w:color="auto" w:fill="auto"/>
            <w:vAlign w:val="center"/>
          </w:tcPr>
          <w:p w14:paraId="3222A30B">
            <w:pPr>
              <w:keepLines w:val="0"/>
              <w:pageBreakBefore w:val="0"/>
              <w:widowControl/>
              <w:kinsoku/>
              <w:wordWrap/>
              <w:overflowPunct/>
              <w:topLinePunct w:val="0"/>
              <w:autoSpaceDE/>
              <w:autoSpaceDN/>
              <w:bidi w:val="0"/>
              <w:adjustRightInd/>
              <w:snapToGrid w:val="0"/>
              <w:spacing w:line="240" w:lineRule="auto"/>
              <w:jc w:val="center"/>
              <w:textAlignment w:val="top"/>
              <w:rPr>
                <w:rFonts w:hint="default" w:ascii="Arial" w:hAnsi="Arial" w:eastAsia="黑体" w:cs="Arial"/>
                <w:b/>
                <w:color w:val="auto"/>
                <w:sz w:val="21"/>
                <w:szCs w:val="21"/>
              </w:rPr>
            </w:pPr>
            <w:r>
              <w:rPr>
                <w:rFonts w:hint="default" w:ascii="Arial" w:hAnsi="Arial" w:eastAsia="黑体" w:cs="Arial"/>
                <w:b/>
                <w:color w:val="auto"/>
                <w:sz w:val="21"/>
                <w:szCs w:val="21"/>
              </w:rPr>
              <w:t>Interface Definition</w:t>
            </w:r>
          </w:p>
        </w:tc>
        <w:tc>
          <w:tcPr>
            <w:tcW w:w="0" w:type="auto"/>
            <w:tcBorders>
              <w:top w:val="single" w:color="auto" w:sz="4" w:space="0"/>
              <w:left w:val="nil"/>
              <w:bottom w:val="single" w:color="auto" w:sz="4" w:space="0"/>
              <w:right w:val="nil"/>
            </w:tcBorders>
            <w:shd w:val="clear" w:color="auto" w:fill="auto"/>
            <w:vAlign w:val="center"/>
          </w:tcPr>
          <w:p w14:paraId="72606142">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r>
              <w:rPr>
                <w:rFonts w:hint="default" w:ascii="Arial" w:hAnsi="Arial" w:eastAsia="黑体" w:cs="Arial"/>
                <w:bCs/>
                <w:color w:val="auto"/>
                <w:sz w:val="21"/>
                <w:szCs w:val="21"/>
              </w:rPr>
              <w:t>+:28V, -: GND; Control bit 1:485A, 2:485B.</w:t>
            </w:r>
          </w:p>
        </w:tc>
        <w:tc>
          <w:tcPr>
            <w:tcW w:w="0" w:type="auto"/>
            <w:tcBorders>
              <w:top w:val="single" w:color="auto" w:sz="4" w:space="0"/>
              <w:left w:val="nil"/>
              <w:bottom w:val="single" w:color="auto" w:sz="4" w:space="0"/>
              <w:right w:val="nil"/>
            </w:tcBorders>
            <w:shd w:val="clear" w:color="auto" w:fill="auto"/>
            <w:vAlign w:val="center"/>
          </w:tcPr>
          <w:p w14:paraId="72EC9DA6">
            <w:pPr>
              <w:keepLines w:val="0"/>
              <w:pageBreakBefore w:val="0"/>
              <w:widowControl/>
              <w:kinsoku/>
              <w:wordWrap/>
              <w:overflowPunct/>
              <w:topLinePunct w:val="0"/>
              <w:autoSpaceDE/>
              <w:autoSpaceDN/>
              <w:bidi w:val="0"/>
              <w:adjustRightInd/>
              <w:snapToGrid w:val="0"/>
              <w:spacing w:line="240" w:lineRule="auto"/>
              <w:jc w:val="left"/>
              <w:textAlignment w:val="center"/>
              <w:rPr>
                <w:rFonts w:hint="default" w:ascii="Arial" w:hAnsi="Arial" w:eastAsia="黑体" w:cs="Arial"/>
                <w:bCs/>
                <w:color w:val="auto"/>
                <w:sz w:val="21"/>
                <w:szCs w:val="21"/>
              </w:rPr>
            </w:pPr>
          </w:p>
        </w:tc>
      </w:tr>
    </w:tbl>
    <w:p w14:paraId="154D2C02">
      <w:pPr>
        <w:keepLines w:val="0"/>
        <w:pageBreakBefore w:val="0"/>
        <w:kinsoku/>
        <w:wordWrap/>
        <w:overflowPunct/>
        <w:topLinePunct w:val="0"/>
        <w:autoSpaceDE/>
        <w:autoSpaceDN/>
        <w:bidi w:val="0"/>
        <w:adjustRightInd/>
        <w:snapToGrid w:val="0"/>
        <w:spacing w:line="240" w:lineRule="auto"/>
        <w:rPr>
          <w:rFonts w:hint="default" w:ascii="Arial" w:hAnsi="Arial" w:eastAsia="宋体" w:cs="Arial"/>
          <w:b/>
          <w:color w:val="auto"/>
          <w:sz w:val="30"/>
          <w:szCs w:val="30"/>
        </w:rPr>
      </w:pPr>
    </w:p>
    <w:p w14:paraId="74AD884E">
      <w:pPr>
        <w:keepLines w:val="0"/>
        <w:pageBreakBefore w:val="0"/>
        <w:kinsoku/>
        <w:wordWrap/>
        <w:overflowPunct/>
        <w:topLinePunct w:val="0"/>
        <w:autoSpaceDE/>
        <w:autoSpaceDN/>
        <w:bidi w:val="0"/>
        <w:adjustRightInd/>
        <w:snapToGrid w:val="0"/>
        <w:spacing w:line="240" w:lineRule="auto"/>
        <w:rPr>
          <w:rFonts w:hint="default" w:ascii="Arial" w:hAnsi="Arial" w:eastAsia="宋体" w:cs="Arial"/>
          <w:b/>
          <w:color w:val="auto"/>
          <w:sz w:val="30"/>
          <w:szCs w:val="30"/>
        </w:rPr>
      </w:pPr>
      <w:r>
        <w:rPr>
          <w:rFonts w:hint="default" w:ascii="Arial" w:hAnsi="Arial" w:eastAsia="宋体" w:cs="Arial"/>
          <w:b/>
          <w:color w:val="auto"/>
          <w:sz w:val="30"/>
          <w:szCs w:val="30"/>
        </w:rPr>
        <w:t>Dimensions</w:t>
      </w:r>
    </w:p>
    <w:p w14:paraId="1864B219">
      <w:pPr>
        <w:keepLines w:val="0"/>
        <w:pageBreakBefore w:val="0"/>
        <w:kinsoku/>
        <w:wordWrap/>
        <w:overflowPunct/>
        <w:topLinePunct w:val="0"/>
        <w:autoSpaceDE/>
        <w:autoSpaceDN/>
        <w:bidi w:val="0"/>
        <w:adjustRightInd/>
        <w:snapToGrid w:val="0"/>
        <w:spacing w:line="240" w:lineRule="auto"/>
        <w:rPr>
          <w:rFonts w:hint="eastAsia" w:ascii="Arial" w:hAnsi="Arial" w:eastAsia="黑体"/>
          <w:color w:val="auto"/>
          <w:lang w:eastAsia="zh-CN"/>
        </w:rPr>
      </w:pPr>
      <w:r>
        <w:rPr>
          <w:rFonts w:hint="eastAsia" w:ascii="Arial" w:hAnsi="Arial" w:eastAsia="黑体"/>
          <w:color w:val="auto"/>
          <w:lang w:eastAsia="zh-CN"/>
        </w:rPr>
        <w:drawing>
          <wp:inline distT="0" distB="0" distL="114300" distR="114300">
            <wp:extent cx="6181725" cy="6131560"/>
            <wp:effectExtent l="0" t="0" r="9525" b="2540"/>
            <wp:docPr id="8" name="图片 8" descr="银白色DDS模块157×123×28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银白色DDS模块157×123×28_00"/>
                    <pic:cNvPicPr>
                      <a:picLocks noChangeAspect="1"/>
                    </pic:cNvPicPr>
                  </pic:nvPicPr>
                  <pic:blipFill>
                    <a:blip r:embed="rId9"/>
                    <a:stretch>
                      <a:fillRect/>
                    </a:stretch>
                  </pic:blipFill>
                  <pic:spPr>
                    <a:xfrm>
                      <a:off x="0" y="0"/>
                      <a:ext cx="6181725" cy="6131560"/>
                    </a:xfrm>
                    <a:prstGeom prst="rect">
                      <a:avLst/>
                    </a:prstGeom>
                  </pic:spPr>
                </pic:pic>
              </a:graphicData>
            </a:graphic>
          </wp:inline>
        </w:drawing>
      </w:r>
    </w:p>
    <w:p w14:paraId="1E2F8E02">
      <w:pPr>
        <w:rPr>
          <w:rFonts w:hint="default" w:ascii="Arial" w:hAnsi="Arial" w:eastAsia="黑体"/>
          <w:color w:val="auto"/>
          <w:lang w:eastAsia="zh-CN"/>
        </w:rPr>
      </w:pPr>
      <w:r>
        <w:rPr>
          <w:rFonts w:hint="default" w:ascii="Arial" w:hAnsi="Arial" w:eastAsia="黑体"/>
          <w:color w:val="auto"/>
          <w:lang w:eastAsia="zh-CN"/>
        </w:rPr>
        <w:br w:type="page"/>
      </w:r>
    </w:p>
    <w:p w14:paraId="1A0BDE54">
      <w:pPr>
        <w:pStyle w:val="2"/>
        <w:bidi w:val="0"/>
        <w:rPr>
          <w:rFonts w:hint="default" w:ascii="Arial" w:hAnsi="Arial" w:eastAsia="宋体" w:cs="Arial"/>
          <w:b/>
          <w:color w:val="auto"/>
          <w:sz w:val="30"/>
          <w:szCs w:val="30"/>
          <w:lang w:val="en-US" w:eastAsia="zh-CN"/>
        </w:rPr>
      </w:pPr>
      <w:bookmarkStart w:id="2" w:name="_Toc2052"/>
      <w:r>
        <w:rPr>
          <w:rFonts w:hint="default" w:ascii="Arial" w:hAnsi="Arial" w:eastAsia="宋体" w:cs="Arial"/>
          <w:b/>
          <w:color w:val="auto"/>
          <w:sz w:val="30"/>
          <w:szCs w:val="30"/>
          <w:lang w:val="en-US" w:eastAsia="zh-CN"/>
        </w:rPr>
        <w:t xml:space="preserve">Single module </w:t>
      </w:r>
      <w:r>
        <w:rPr>
          <w:rFonts w:hint="default" w:ascii="Arial" w:hAnsi="Arial"/>
          <w:color w:val="auto"/>
          <w:lang w:val="en-US" w:eastAsia="zh-CN"/>
        </w:rPr>
        <w:t xml:space="preserve">software </w:t>
      </w:r>
      <w:r>
        <w:rPr>
          <w:rFonts w:hint="default" w:ascii="Arial" w:hAnsi="Arial" w:eastAsia="宋体" w:cs="Arial"/>
          <w:b/>
          <w:color w:val="auto"/>
          <w:sz w:val="30"/>
          <w:szCs w:val="30"/>
          <w:lang w:val="en-US" w:eastAsia="zh-CN"/>
        </w:rPr>
        <w:t>control instructions</w:t>
      </w:r>
      <w:bookmarkEnd w:id="2"/>
    </w:p>
    <w:p w14:paraId="3B0EF8F4">
      <w:pPr>
        <w:keepNext w:val="0"/>
        <w:keepLines w:val="0"/>
        <w:widowControl w:val="0"/>
        <w:suppressLineNumbers w:val="0"/>
        <w:spacing w:before="0" w:beforeAutospacing="0" w:after="0" w:afterAutospacing="0"/>
        <w:ind w:left="0" w:right="0"/>
        <w:jc w:val="center"/>
        <w:rPr>
          <w:rFonts w:hint="default" w:ascii="Arial" w:hAnsi="Arial" w:eastAsia="黑体" w:cs="Arial"/>
          <w:color w:val="auto"/>
          <w:kern w:val="2"/>
          <w:sz w:val="24"/>
          <w:szCs w:val="24"/>
        </w:rPr>
      </w:pPr>
      <w:r>
        <w:rPr>
          <w:rFonts w:hint="default" w:ascii="Arial" w:hAnsi="Arial" w:eastAsia="黑体" w:cs="Arial"/>
          <w:color w:val="auto"/>
          <w:kern w:val="2"/>
          <w:sz w:val="21"/>
          <w:szCs w:val="21"/>
          <w:lang w:val="en-US" w:eastAsia="zh-CN" w:bidi="ar"/>
        </w:rPr>
        <w:drawing>
          <wp:inline distT="0" distB="0" distL="114300" distR="114300">
            <wp:extent cx="3385185" cy="3096895"/>
            <wp:effectExtent l="0" t="0" r="5715" b="825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10"/>
                    <a:stretch>
                      <a:fillRect/>
                    </a:stretch>
                  </pic:blipFill>
                  <pic:spPr>
                    <a:xfrm>
                      <a:off x="0" y="0"/>
                      <a:ext cx="3385185" cy="3096895"/>
                    </a:xfrm>
                    <a:prstGeom prst="rect">
                      <a:avLst/>
                    </a:prstGeom>
                    <a:noFill/>
                    <a:ln w="9525">
                      <a:noFill/>
                    </a:ln>
                  </pic:spPr>
                </pic:pic>
              </a:graphicData>
            </a:graphic>
          </wp:inline>
        </w:drawing>
      </w:r>
    </w:p>
    <w:p w14:paraId="5A00C34D">
      <w:pPr>
        <w:keepNext w:val="0"/>
        <w:keepLines w:val="0"/>
        <w:widowControl w:val="0"/>
        <w:numPr>
          <w:ilvl w:val="0"/>
          <w:numId w:val="1"/>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Power setting adjustment, the left side displays the power value in dBm and W units respectively, and the right scroll bar can be dragged left and right to adjust the power.</w:t>
      </w:r>
    </w:p>
    <w:p w14:paraId="253B9F6F">
      <w:pPr>
        <w:keepNext w:val="0"/>
        <w:keepLines w:val="0"/>
        <w:widowControl w:val="0"/>
        <w:numPr>
          <w:ilvl w:val="0"/>
          <w:numId w:val="1"/>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default frequency range of the first channel, Start Freq is the starting frequency, Stop Freq is the ending frequency, and the ending frequency must be greater than the starting frequency. The default frequency step is 1M, which can be adjusted accurately.</w:t>
      </w:r>
    </w:p>
    <w:p w14:paraId="7AF9F848">
      <w:pPr>
        <w:keepNext w:val="0"/>
        <w:keepLines w:val="0"/>
        <w:widowControl w:val="0"/>
        <w:numPr>
          <w:ilvl w:val="0"/>
          <w:numId w:val="1"/>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frequency range setting of the second channel, the starting frequency of the second channel must be greater than the ending frequency of the first channel.</w:t>
      </w:r>
    </w:p>
    <w:p w14:paraId="08A178CE">
      <w:pPr>
        <w:keepNext w:val="0"/>
        <w:keepLines w:val="0"/>
        <w:widowControl w:val="0"/>
        <w:numPr>
          <w:ilvl w:val="0"/>
          <w:numId w:val="1"/>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frequency range setting of the third channel, the starting frequency of the third channel must be greater than the ending frequency of the second channel.</w:t>
      </w:r>
    </w:p>
    <w:p w14:paraId="5756A647">
      <w:pPr>
        <w:keepNext w:val="0"/>
        <w:keepLines w:val="0"/>
        <w:widowControl w:val="0"/>
        <w:numPr>
          <w:ilvl w:val="0"/>
          <w:numId w:val="1"/>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function is the same as above, which is the frequency range setting of the fourth channel.</w:t>
      </w:r>
    </w:p>
    <w:p w14:paraId="31CA82EB">
      <w:pPr>
        <w:keepNext w:val="0"/>
        <w:keepLines w:val="0"/>
        <w:widowControl w:val="0"/>
        <w:numPr>
          <w:ilvl w:val="0"/>
          <w:numId w:val="1"/>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The power amplifier module switch setting. ON is turned on, and OFF is turned off the power amplifier.</w:t>
      </w:r>
    </w:p>
    <w:p w14:paraId="06C52FBB">
      <w:pPr>
        <w:keepNext w:val="0"/>
        <w:keepLines w:val="0"/>
        <w:widowControl w:val="0"/>
        <w:numPr>
          <w:ilvl w:val="0"/>
          <w:numId w:val="1"/>
        </w:numPr>
        <w:suppressLineNumbers w:val="0"/>
        <w:spacing w:before="0" w:beforeAutospacing="0" w:after="0" w:afterAutospacing="0"/>
        <w:ind w:left="14" w:leftChars="0" w:right="0" w:hanging="14" w:hangingChars="6"/>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Working status display:</w:t>
      </w:r>
    </w:p>
    <w:p w14:paraId="03AB7BF0">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Out Power:</w:t>
      </w:r>
      <w:r>
        <w:rPr>
          <w:rFonts w:hint="default" w:ascii="Arial" w:hAnsi="Arial" w:eastAsia="黑体" w:cs="Arial"/>
          <w:color w:val="auto"/>
          <w:kern w:val="2"/>
          <w:sz w:val="24"/>
          <w:szCs w:val="24"/>
          <w:lang w:val="en-US" w:eastAsia="zh-CN" w:bidi="ar"/>
        </w:rPr>
        <w:t xml:space="preserve"> output power, the real-time power of the current module when it is working </w:t>
      </w:r>
      <w:r>
        <w:rPr>
          <w:rFonts w:hint="eastAsia" w:ascii="Arial" w:hAnsi="Arial" w:eastAsia="黑体" w:cs="Arial"/>
          <w:color w:val="auto"/>
          <w:kern w:val="2"/>
          <w:sz w:val="24"/>
          <w:szCs w:val="24"/>
          <w:lang w:val="en-US" w:eastAsia="zh-CN" w:bidi="ar"/>
        </w:rPr>
        <w:tab/>
      </w:r>
      <w:r>
        <w:rPr>
          <w:rFonts w:hint="eastAsia" w:ascii="Arial" w:hAnsi="Arial" w:eastAsia="黑体" w:cs="Arial"/>
          <w:color w:val="auto"/>
          <w:kern w:val="2"/>
          <w:sz w:val="24"/>
          <w:szCs w:val="24"/>
          <w:lang w:val="en-US" w:eastAsia="zh-CN" w:bidi="ar"/>
        </w:rPr>
        <w:tab/>
      </w:r>
      <w:r>
        <w:rPr>
          <w:rFonts w:hint="eastAsia" w:ascii="Arial" w:hAnsi="Arial" w:eastAsia="黑体" w:cs="Arial"/>
          <w:color w:val="auto"/>
          <w:kern w:val="2"/>
          <w:sz w:val="24"/>
          <w:szCs w:val="24"/>
          <w:lang w:val="en-US" w:eastAsia="zh-CN" w:bidi="ar"/>
        </w:rPr>
        <w:tab/>
      </w:r>
      <w:r>
        <w:rPr>
          <w:rFonts w:hint="default" w:ascii="Arial" w:hAnsi="Arial" w:eastAsia="黑体" w:cs="Arial"/>
          <w:color w:val="auto"/>
          <w:kern w:val="2"/>
          <w:sz w:val="24"/>
          <w:szCs w:val="24"/>
          <w:lang w:val="en-US" w:eastAsia="zh-CN" w:bidi="ar"/>
        </w:rPr>
        <w:t>normally.</w:t>
      </w:r>
    </w:p>
    <w:p w14:paraId="7AA7AC64">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Temperature:</w:t>
      </w:r>
      <w:r>
        <w:rPr>
          <w:rFonts w:hint="default" w:ascii="Arial" w:hAnsi="Arial" w:eastAsia="黑体" w:cs="Arial"/>
          <w:color w:val="auto"/>
          <w:kern w:val="2"/>
          <w:sz w:val="24"/>
          <w:szCs w:val="24"/>
          <w:lang w:val="en-US" w:eastAsia="zh-CN" w:bidi="ar"/>
        </w:rPr>
        <w:t xml:space="preserve"> module temperature.</w:t>
      </w:r>
    </w:p>
    <w:p w14:paraId="68C04781">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Voltage:</w:t>
      </w:r>
      <w:r>
        <w:rPr>
          <w:rFonts w:hint="default" w:ascii="Arial" w:hAnsi="Arial" w:eastAsia="黑体" w:cs="Arial"/>
          <w:color w:val="auto"/>
          <w:kern w:val="2"/>
          <w:sz w:val="24"/>
          <w:szCs w:val="24"/>
          <w:lang w:val="en-US" w:eastAsia="zh-CN" w:bidi="ar"/>
        </w:rPr>
        <w:t xml:space="preserve"> module supply voltage.</w:t>
      </w:r>
    </w:p>
    <w:p w14:paraId="408AEE54">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lang w:val="en-US" w:eastAsia="zh-CN" w:bidi="ar"/>
        </w:rPr>
      </w:pPr>
      <w:r>
        <w:rPr>
          <w:rFonts w:hint="default" w:ascii="Arial" w:hAnsi="Arial" w:eastAsia="黑体" w:cs="Arial"/>
          <w:b/>
          <w:bCs/>
          <w:color w:val="auto"/>
          <w:kern w:val="2"/>
          <w:sz w:val="24"/>
          <w:szCs w:val="24"/>
          <w:lang w:val="en-US" w:eastAsia="zh-CN" w:bidi="ar"/>
        </w:rPr>
        <w:t>Current:</w:t>
      </w:r>
      <w:r>
        <w:rPr>
          <w:rFonts w:hint="default" w:ascii="Arial" w:hAnsi="Arial" w:eastAsia="黑体" w:cs="Arial"/>
          <w:color w:val="auto"/>
          <w:kern w:val="2"/>
          <w:sz w:val="24"/>
          <w:szCs w:val="24"/>
          <w:lang w:val="en-US" w:eastAsia="zh-CN" w:bidi="ar"/>
        </w:rPr>
        <w:t xml:space="preserve"> module current.</w:t>
      </w:r>
    </w:p>
    <w:p w14:paraId="412773CE">
      <w:pPr>
        <w:keepNext w:val="0"/>
        <w:keepLines w:val="0"/>
        <w:widowControl w:val="0"/>
        <w:suppressLineNumbers w:val="0"/>
        <w:spacing w:before="0" w:beforeAutospacing="0" w:after="0" w:afterAutospacing="0"/>
        <w:ind w:left="480" w:right="0" w:firstLine="0" w:firstLineChars="0"/>
        <w:jc w:val="left"/>
        <w:rPr>
          <w:rFonts w:hint="default" w:ascii="Arial" w:hAnsi="Arial" w:eastAsia="黑体" w:cs="Arial"/>
          <w:color w:val="auto"/>
          <w:kern w:val="2"/>
          <w:sz w:val="24"/>
          <w:szCs w:val="24"/>
        </w:rPr>
      </w:pPr>
      <w:r>
        <w:rPr>
          <w:rFonts w:hint="default" w:ascii="Arial" w:hAnsi="Arial" w:eastAsia="黑体" w:cs="Arial"/>
          <w:b/>
          <w:bCs/>
          <w:color w:val="auto"/>
          <w:kern w:val="2"/>
          <w:sz w:val="24"/>
          <w:szCs w:val="24"/>
          <w:lang w:val="en-US" w:eastAsia="zh-CN" w:bidi="ar"/>
        </w:rPr>
        <w:t>VSWR:</w:t>
      </w:r>
      <w:r>
        <w:rPr>
          <w:rFonts w:hint="default" w:ascii="Arial" w:hAnsi="Arial" w:eastAsia="黑体" w:cs="Arial"/>
          <w:color w:val="auto"/>
          <w:kern w:val="2"/>
          <w:sz w:val="24"/>
          <w:szCs w:val="24"/>
          <w:lang w:val="en-US" w:eastAsia="zh-CN" w:bidi="ar"/>
        </w:rPr>
        <w:t xml:space="preserve"> standing wave state. </w:t>
      </w:r>
    </w:p>
    <w:p w14:paraId="0214F68E">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8. Serial port settings, RS485 communication interface. Select the serial port number in the drop-down list box, Open to open, Close to close.</w:t>
      </w:r>
    </w:p>
    <w:p w14:paraId="60F2E52F">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9. Frequency channel selection box, a total of 4 channels are available.</w:t>
      </w:r>
    </w:p>
    <w:p w14:paraId="703E1B46">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10. Module address code query and setting.</w:t>
      </w:r>
    </w:p>
    <w:p w14:paraId="05FF06B6">
      <w:pPr>
        <w:jc w:val="left"/>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11. Query or set parameters, Inquiry is to query parameters, Set is to apply all modified parameters.</w:t>
      </w:r>
    </w:p>
    <w:p w14:paraId="73A7C9ED">
      <w:pPr>
        <w:keepLines w:val="0"/>
        <w:pageBreakBefore w:val="0"/>
        <w:kinsoku/>
        <w:wordWrap/>
        <w:overflowPunct/>
        <w:topLinePunct w:val="0"/>
        <w:autoSpaceDE/>
        <w:autoSpaceDN/>
        <w:bidi w:val="0"/>
        <w:adjustRightInd/>
        <w:snapToGrid w:val="0"/>
        <w:spacing w:line="240" w:lineRule="auto"/>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t>12. Display information feedback when querying or setting parameters.</w:t>
      </w:r>
    </w:p>
    <w:p w14:paraId="5A491D36">
      <w:pPr>
        <w:rPr>
          <w:rFonts w:hint="default" w:ascii="Arial" w:hAnsi="Arial" w:eastAsia="黑体" w:cs="Arial"/>
          <w:color w:val="auto"/>
          <w:kern w:val="2"/>
          <w:sz w:val="24"/>
          <w:szCs w:val="24"/>
          <w:lang w:val="en-US" w:eastAsia="zh-CN" w:bidi="ar"/>
        </w:rPr>
      </w:pPr>
      <w:r>
        <w:rPr>
          <w:rFonts w:hint="default" w:ascii="Arial" w:hAnsi="Arial" w:eastAsia="黑体" w:cs="Arial"/>
          <w:color w:val="auto"/>
          <w:kern w:val="2"/>
          <w:sz w:val="24"/>
          <w:szCs w:val="24"/>
          <w:lang w:val="en-US" w:eastAsia="zh-CN" w:bidi="ar"/>
        </w:rPr>
        <w:br w:type="page"/>
      </w:r>
    </w:p>
    <w:p w14:paraId="35DC98B9">
      <w:pPr>
        <w:pStyle w:val="2"/>
        <w:bidi w:val="0"/>
        <w:rPr>
          <w:rFonts w:hint="default" w:ascii="Arial" w:hAnsi="Arial" w:eastAsia="宋体" w:cs="Arial"/>
          <w:b/>
          <w:color w:val="auto"/>
          <w:sz w:val="30"/>
          <w:szCs w:val="30"/>
          <w:lang w:val="en-US" w:eastAsia="zh-CN"/>
        </w:rPr>
      </w:pPr>
      <w:bookmarkStart w:id="3" w:name="_Toc9489"/>
      <w:r>
        <w:rPr>
          <w:rFonts w:hint="default" w:ascii="Arial" w:hAnsi="Arial" w:eastAsia="宋体" w:cs="Arial"/>
          <w:b/>
          <w:color w:val="auto"/>
          <w:sz w:val="30"/>
          <w:szCs w:val="30"/>
          <w:lang w:val="en-US" w:eastAsia="zh-CN"/>
        </w:rPr>
        <w:t xml:space="preserve">Sub-band </w:t>
      </w:r>
      <w:r>
        <w:rPr>
          <w:rFonts w:hint="default" w:ascii="Arial" w:hAnsi="Arial"/>
          <w:color w:val="auto"/>
          <w:lang w:val="en-US" w:eastAsia="zh-CN"/>
        </w:rPr>
        <w:t xml:space="preserve">setting </w:t>
      </w:r>
      <w:r>
        <w:rPr>
          <w:rFonts w:hint="default" w:ascii="Arial" w:hAnsi="Arial" w:eastAsia="宋体" w:cs="Arial"/>
          <w:b/>
          <w:color w:val="auto"/>
          <w:sz w:val="30"/>
          <w:szCs w:val="30"/>
          <w:lang w:val="en-US" w:eastAsia="zh-CN"/>
        </w:rPr>
        <w:t>effect display</w:t>
      </w:r>
      <w:bookmarkEnd w:id="3"/>
    </w:p>
    <w:p w14:paraId="5E7BE9D7">
      <w:pPr>
        <w:keepLines w:val="0"/>
        <w:pageBreakBefore w:val="0"/>
        <w:kinsoku/>
        <w:wordWrap/>
        <w:overflowPunct/>
        <w:topLinePunct w:val="0"/>
        <w:autoSpaceDE/>
        <w:autoSpaceDN/>
        <w:bidi w:val="0"/>
        <w:adjustRightInd/>
        <w:snapToGrid w:val="0"/>
        <w:spacing w:line="240" w:lineRule="auto"/>
        <w:jc w:val="center"/>
        <w:rPr>
          <w:rFonts w:hint="default" w:ascii="Arial" w:hAnsi="Arial" w:eastAsia="黑体" w:cs="Arial"/>
          <w:color w:val="auto"/>
          <w:lang w:eastAsia="zh-CN"/>
        </w:rPr>
      </w:pPr>
      <w:r>
        <w:rPr>
          <w:rFonts w:hint="default" w:ascii="Arial" w:hAnsi="Arial" w:eastAsia="黑体" w:cs="Arial"/>
          <w:color w:val="auto"/>
          <w:lang w:eastAsia="zh-CN"/>
        </w:rPr>
        <w:drawing>
          <wp:inline distT="0" distB="0" distL="114300" distR="114300">
            <wp:extent cx="4272915" cy="3733165"/>
            <wp:effectExtent l="0" t="0" r="13335" b="635"/>
            <wp:docPr id="14" name="图片 14" descr="DDS-Detail-Page-Subband-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DDS-Detail-Page-Subband-Software"/>
                    <pic:cNvPicPr>
                      <a:picLocks noChangeAspect="1"/>
                    </pic:cNvPicPr>
                  </pic:nvPicPr>
                  <pic:blipFill>
                    <a:blip r:embed="rId11"/>
                    <a:stretch>
                      <a:fillRect/>
                    </a:stretch>
                  </pic:blipFill>
                  <pic:spPr>
                    <a:xfrm>
                      <a:off x="0" y="0"/>
                      <a:ext cx="4272915" cy="3733165"/>
                    </a:xfrm>
                    <a:prstGeom prst="rect">
                      <a:avLst/>
                    </a:prstGeom>
                  </pic:spPr>
                </pic:pic>
              </a:graphicData>
            </a:graphic>
          </wp:inline>
        </w:drawing>
      </w:r>
    </w:p>
    <w:p w14:paraId="796BF223">
      <w:pPr>
        <w:keepLines w:val="0"/>
        <w:pageBreakBefore w:val="0"/>
        <w:kinsoku/>
        <w:wordWrap/>
        <w:overflowPunct/>
        <w:topLinePunct w:val="0"/>
        <w:autoSpaceDE/>
        <w:autoSpaceDN/>
        <w:bidi w:val="0"/>
        <w:adjustRightInd/>
        <w:snapToGrid w:val="0"/>
        <w:spacing w:line="240" w:lineRule="auto"/>
        <w:jc w:val="center"/>
        <w:rPr>
          <w:rFonts w:hint="default" w:ascii="Arial" w:hAnsi="Arial" w:eastAsia="黑体" w:cs="Arial"/>
          <w:color w:val="auto"/>
          <w:lang w:eastAsia="zh-CN"/>
        </w:rPr>
      </w:pPr>
    </w:p>
    <w:p w14:paraId="646E9FDD">
      <w:pPr>
        <w:pStyle w:val="2"/>
        <w:bidi w:val="0"/>
        <w:rPr>
          <w:rFonts w:hint="default" w:ascii="Arial" w:hAnsi="Arial" w:eastAsia="宋体" w:cs="Arial"/>
          <w:b/>
          <w:color w:val="auto"/>
          <w:sz w:val="30"/>
          <w:szCs w:val="30"/>
          <w:lang w:val="en-US" w:eastAsia="zh-CN"/>
        </w:rPr>
      </w:pPr>
      <w:bookmarkStart w:id="4" w:name="_Toc8022"/>
      <w:r>
        <w:rPr>
          <w:rFonts w:hint="eastAsia" w:ascii="Arial" w:hAnsi="Arial" w:eastAsia="宋体" w:cs="Arial"/>
          <w:b/>
          <w:color w:val="auto"/>
          <w:sz w:val="30"/>
          <w:szCs w:val="30"/>
          <w:lang w:val="en-US" w:eastAsia="zh-CN"/>
        </w:rPr>
        <w:t xml:space="preserve">DDS RS485 </w:t>
      </w:r>
      <w:r>
        <w:rPr>
          <w:rFonts w:hint="default" w:ascii="Arial" w:hAnsi="Arial"/>
          <w:color w:val="auto"/>
          <w:lang w:val="en-US" w:eastAsia="zh-CN"/>
        </w:rPr>
        <w:t xml:space="preserve">communication </w:t>
      </w:r>
      <w:r>
        <w:rPr>
          <w:rFonts w:hint="default" w:ascii="Arial" w:hAnsi="Arial" w:eastAsia="宋体" w:cs="Arial"/>
          <w:b/>
          <w:color w:val="auto"/>
          <w:sz w:val="30"/>
          <w:szCs w:val="30"/>
          <w:lang w:val="en-US" w:eastAsia="zh-CN"/>
        </w:rPr>
        <w:t>connection diagram</w:t>
      </w:r>
      <w:bookmarkEnd w:id="4"/>
    </w:p>
    <w:p w14:paraId="4955B1D2">
      <w:pPr>
        <w:keepLines w:val="0"/>
        <w:pageBreakBefore w:val="0"/>
        <w:kinsoku/>
        <w:wordWrap/>
        <w:overflowPunct/>
        <w:topLinePunct w:val="0"/>
        <w:autoSpaceDE/>
        <w:autoSpaceDN/>
        <w:bidi w:val="0"/>
        <w:adjustRightInd/>
        <w:snapToGrid w:val="0"/>
        <w:spacing w:line="240" w:lineRule="auto"/>
        <w:jc w:val="center"/>
        <w:rPr>
          <w:rFonts w:hint="default" w:ascii="Arial" w:hAnsi="Arial" w:eastAsia="黑体" w:cs="Arial"/>
          <w:color w:val="auto"/>
          <w:lang w:val="en-US" w:eastAsia="zh-CN"/>
        </w:rPr>
      </w:pPr>
      <w:r>
        <w:rPr>
          <w:rFonts w:hint="default" w:ascii="Arial" w:hAnsi="Arial" w:eastAsia="宋体" w:cs="Arial"/>
          <w:b/>
          <w:color w:val="auto"/>
          <w:sz w:val="30"/>
          <w:szCs w:val="30"/>
          <w:lang w:val="en-US" w:eastAsia="zh-CN"/>
        </w:rPr>
        <w:drawing>
          <wp:inline distT="0" distB="0" distL="114300" distR="114300">
            <wp:extent cx="6172835" cy="4300855"/>
            <wp:effectExtent l="0" t="0" r="18415" b="4445"/>
            <wp:docPr id="13" name="图片 13" descr="T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Topology"/>
                    <pic:cNvPicPr>
                      <a:picLocks noChangeAspect="1"/>
                    </pic:cNvPicPr>
                  </pic:nvPicPr>
                  <pic:blipFill>
                    <a:blip r:embed="rId12"/>
                    <a:stretch>
                      <a:fillRect/>
                    </a:stretch>
                  </pic:blipFill>
                  <pic:spPr>
                    <a:xfrm>
                      <a:off x="0" y="0"/>
                      <a:ext cx="6172835" cy="4300855"/>
                    </a:xfrm>
                    <a:prstGeom prst="rect">
                      <a:avLst/>
                    </a:prstGeom>
                  </pic:spPr>
                </pic:pic>
              </a:graphicData>
            </a:graphic>
          </wp:inline>
        </w:drawing>
      </w:r>
    </w:p>
    <w:sectPr>
      <w:headerReference r:id="rId3" w:type="default"/>
      <w:footerReference r:id="rId4" w:type="default"/>
      <w:pgSz w:w="11906" w:h="16838"/>
      <w:pgMar w:top="1270" w:right="1083" w:bottom="1270" w:left="1083" w:header="567" w:footer="85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51CECF1-FBF5-4906-A977-6DE105A7D851}"/>
  </w:font>
  <w:font w:name="黑体">
    <w:panose1 w:val="02010609060101010101"/>
    <w:charset w:val="86"/>
    <w:family w:val="auto"/>
    <w:pitch w:val="default"/>
    <w:sig w:usb0="800002BF" w:usb1="38CF7CFA" w:usb2="00000016" w:usb3="00000000" w:csb0="00040001" w:csb1="00000000"/>
    <w:embedRegular r:id="rId2" w:fontKey="{B4A8CCEE-009C-4B43-A45C-949DFBE2CD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思源黑体 CN Heavy">
    <w:panose1 w:val="020B0A00000000000000"/>
    <w:charset w:val="86"/>
    <w:family w:val="swiss"/>
    <w:pitch w:val="default"/>
    <w:sig w:usb0="20000003" w:usb1="2ADF3C10" w:usb2="00000016" w:usb3="00000000" w:csb0="60060107" w:csb1="00000000"/>
  </w:font>
  <w:font w:name="思源黑体 CN Medium">
    <w:panose1 w:val="020B0600000000000000"/>
    <w:charset w:val="86"/>
    <w:family w:val="swiss"/>
    <w:pitch w:val="default"/>
    <w:sig w:usb0="20000003" w:usb1="2ADF3C10" w:usb2="00000016" w:usb3="00000000" w:csb0="60060107" w:csb1="00000000"/>
  </w:font>
  <w:font w:name="Arial">
    <w:panose1 w:val="020B0604020202020204"/>
    <w:charset w:val="00"/>
    <w:family w:val="auto"/>
    <w:pitch w:val="default"/>
    <w:sig w:usb0="E0002EFF" w:usb1="C000785B" w:usb2="00000009" w:usb3="00000000" w:csb0="400001FF" w:csb1="FFFF0000"/>
    <w:embedRegular r:id="rId3" w:fontKey="{26CF6667-74FF-415B-A394-C199405BC29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90D9D">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994F9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5994F9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C61F1">
    <w:pPr>
      <w:pStyle w:val="4"/>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1" name="图片 1"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5956F2"/>
    <w:multiLevelType w:val="singleLevel"/>
    <w:tmpl w:val="BF5956F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hNjg4MWNiNTIxNmM1NGQzMGYyZTQzNjY5YzI1ODMifQ=="/>
  </w:docVars>
  <w:rsids>
    <w:rsidRoot w:val="5B9517F3"/>
    <w:rsid w:val="00117178"/>
    <w:rsid w:val="005B416D"/>
    <w:rsid w:val="00A57091"/>
    <w:rsid w:val="01C41222"/>
    <w:rsid w:val="07553F5E"/>
    <w:rsid w:val="07647628"/>
    <w:rsid w:val="247E2F13"/>
    <w:rsid w:val="2ACF7CA5"/>
    <w:rsid w:val="2CFA58DA"/>
    <w:rsid w:val="337C13FB"/>
    <w:rsid w:val="37F6445D"/>
    <w:rsid w:val="3F777B5B"/>
    <w:rsid w:val="401027A3"/>
    <w:rsid w:val="4F5A54C2"/>
    <w:rsid w:val="525C2EEF"/>
    <w:rsid w:val="5B9517F3"/>
    <w:rsid w:val="5DFC005F"/>
    <w:rsid w:val="62040FEC"/>
    <w:rsid w:val="65CA6C0D"/>
    <w:rsid w:val="69B9630E"/>
    <w:rsid w:val="69F30D2E"/>
    <w:rsid w:val="7C306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adjustRightInd w:val="0"/>
      <w:snapToGrid w:val="0"/>
      <w:spacing w:before="120" w:beforeLines="0" w:beforeAutospacing="0" w:afterLines="0" w:afterAutospacing="0" w:line="360" w:lineRule="auto"/>
      <w:outlineLvl w:val="1"/>
    </w:pPr>
    <w:rPr>
      <w:rFonts w:ascii="Arial" w:hAnsi="Arial" w:eastAsia="黑体"/>
      <w:b/>
      <w:sz w:val="32"/>
    </w:rPr>
  </w:style>
  <w:style w:type="character" w:default="1" w:styleId="6">
    <w:name w:val="Default Paragraph Font"/>
    <w:semiHidden/>
    <w:unhideWhenUsed/>
    <w:qFormat/>
    <w:uiPriority w:val="1"/>
  </w:style>
  <w:style w:type="table" w:default="1" w:styleId="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7">
    <w:name w:val="font11"/>
    <w:basedOn w:val="6"/>
    <w:autoRedefine/>
    <w:qFormat/>
    <w:uiPriority w:val="0"/>
    <w:rPr>
      <w:rFonts w:hint="eastAsia" w:ascii="宋体" w:hAnsi="宋体" w:eastAsia="宋体" w:cs="宋体"/>
      <w:color w:val="000000"/>
      <w:sz w:val="24"/>
      <w:szCs w:val="24"/>
      <w:u w:val="none"/>
    </w:rPr>
  </w:style>
  <w:style w:type="character" w:customStyle="1" w:styleId="8">
    <w:name w:val="10"/>
    <w:basedOn w:val="6"/>
    <w:uiPriority w:val="0"/>
    <w:rPr>
      <w:rFonts w:hint="default" w:ascii="Times New Roman" w:hAnsi="Times New Roman" w:cs="Times New Roman"/>
    </w:rPr>
  </w:style>
  <w:style w:type="character" w:customStyle="1" w:styleId="9">
    <w:name w:val="15"/>
    <w:basedOn w:val="6"/>
    <w:uiPriority w:val="0"/>
    <w:rPr>
      <w:rFonts w:hint="eastAsia" w:ascii="宋体" w:hAnsi="宋体" w:eastAsia="宋体" w:cs="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899</Words>
  <Characters>5169</Characters>
  <Lines>31</Lines>
  <Paragraphs>8</Paragraphs>
  <TotalTime>14</TotalTime>
  <ScaleCrop>false</ScaleCrop>
  <LinksUpToDate>false</LinksUpToDate>
  <CharactersWithSpaces>5905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2023-07-18T09:20:00Z</dcterms:created>
  <dc:creator>GH</dc:creator>
  <cp:lastModifiedBy>Anonymous</cp:lastModifiedBy>
  <dcterms:modified xsi:type="dcterms:W3CDTF">2025-10-11T09:25:54Z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736CD64A511A458D99CE3022358AB7B1_11</vt:lpwstr>
  </property>
  <property fmtid="{D5CDD505-2E9C-101B-9397-08002B2CF9AE}" pid="4" name="KSOTemplateDocerSaveRecord">
    <vt:lpwstr>eyJoZGlkIjoiNGVhNjg4MWNiNTIxNmM1NGQzMGYyZTQzNjY5YzI1ODMiLCJ1c2VySWQiOiIzNTcxMTE4MDMifQ==</vt:lpwstr>
  </property>
</Properties>
</file>