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E1808">
      <w:pPr>
        <w:jc w:val="center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2D4D1A3F">
      <w:pPr>
        <w:jc w:val="center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2C7693D7">
      <w:pPr>
        <w:jc w:val="center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2BB10340">
      <w:pPr>
        <w:jc w:val="center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  <w:t>Lance-CM Drone Jammer Gun</w:t>
      </w:r>
    </w:p>
    <w:p w14:paraId="50F3FAF8">
      <w:pPr>
        <w:jc w:val="center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  <w:t>Instruction Manual</w:t>
      </w:r>
    </w:p>
    <w:p w14:paraId="01E93293">
      <w:pPr>
        <w:jc w:val="both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01F26156">
      <w:pPr>
        <w:jc w:val="both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20378366">
      <w:pPr>
        <w:jc w:val="both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3762F274">
      <w:pPr>
        <w:jc w:val="both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1CDD2215">
      <w:pPr>
        <w:jc w:val="both"/>
        <w:rPr>
          <w:rFonts w:hint="eastAsia" w:ascii="Arial" w:hAnsi="Arial" w:eastAsia="黑体" w:cs="宋体"/>
          <w:b/>
          <w:bCs w:val="0"/>
          <w:color w:val="auto"/>
          <w:sz w:val="44"/>
          <w:szCs w:val="44"/>
          <w:lang w:val="en-US" w:eastAsia="zh-CN"/>
        </w:rPr>
      </w:pPr>
    </w:p>
    <w:p w14:paraId="10B54D59">
      <w:pPr>
        <w:jc w:val="center"/>
        <w:rPr>
          <w:rFonts w:hint="default" w:ascii="Arial" w:hAnsi="Arial" w:eastAsia="黑体" w:cs="宋体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Arial" w:hAnsi="Arial" w:eastAsia="黑体" w:cs="宋体"/>
          <w:b/>
          <w:bCs w:val="0"/>
          <w:color w:val="auto"/>
          <w:sz w:val="32"/>
          <w:szCs w:val="32"/>
          <w:lang w:val="en-US" w:eastAsia="zh-CN"/>
        </w:rPr>
        <w:drawing>
          <wp:inline distT="0" distB="0" distL="114300" distR="114300">
            <wp:extent cx="6143625" cy="2948305"/>
            <wp:effectExtent l="0" t="0" r="9525" b="4445"/>
            <wp:docPr id="8" name="图片 8" descr="Lance-CM-Anti-Drone-Gun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Lance-CM-Anti-Drone-Gun_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05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textAlignment w:val="auto"/>
        <w:rPr>
          <w:rStyle w:val="9"/>
          <w:rFonts w:hint="eastAsia" w:ascii="Arial" w:hAnsi="Arial" w:eastAsia="黑体" w:cs="宋体"/>
          <w:color w:val="auto"/>
          <w:sz w:val="28"/>
          <w:szCs w:val="28"/>
          <w:lang w:val="en-US" w:eastAsia="zh-CN" w:bidi="ar"/>
        </w:rPr>
        <w:sectPr>
          <w:headerReference r:id="rId3" w:type="default"/>
          <w:footerReference r:id="rId4" w:type="default"/>
          <w:pgSz w:w="11906" w:h="16838"/>
          <w:pgMar w:top="1270" w:right="1083" w:bottom="1270" w:left="1083" w:header="567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3D0D9D7B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160" w:lineRule="exact"/>
        <w:ind w:leftChars="0" w:right="0" w:rightChars="0"/>
        <w:jc w:val="both"/>
        <w:textAlignment w:val="auto"/>
        <w:rPr>
          <w:rFonts w:hint="default" w:ascii="Arial" w:hAnsi="Arial" w:eastAsia="黑体" w:cs="黑体"/>
          <w:b/>
          <w:bCs/>
          <w:kern w:val="2"/>
          <w:sz w:val="28"/>
          <w:szCs w:val="28"/>
          <w:lang w:val="en-US" w:eastAsia="zh-CN" w:bidi="ar"/>
        </w:rPr>
      </w:pPr>
    </w:p>
    <w:p w14:paraId="083881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textAlignment w:val="auto"/>
        <w:rPr>
          <w:rStyle w:val="9"/>
          <w:rFonts w:hint="default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</w:pPr>
      <w:r>
        <w:rPr>
          <w:rStyle w:val="9"/>
          <w:rFonts w:hint="default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  <w:t>Product images: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6"/>
      </w:tblGrid>
      <w:tr w14:paraId="2AF32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956" w:type="dxa"/>
          </w:tcPr>
          <w:p w14:paraId="4B1E9860">
            <w:pPr>
              <w:jc w:val="both"/>
              <w:rPr>
                <w:rFonts w:hint="default" w:ascii="Arial" w:hAnsi="Arial" w:eastAsia="黑体" w:cs="宋体"/>
                <w:b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b/>
                <w:color w:val="auto"/>
                <w:sz w:val="30"/>
                <w:szCs w:val="30"/>
                <w:lang w:eastAsia="zh-CN"/>
              </w:rPr>
              <w:drawing>
                <wp:inline distT="0" distB="0" distL="114300" distR="114300">
                  <wp:extent cx="6169025" cy="1842135"/>
                  <wp:effectExtent l="0" t="0" r="0" b="0"/>
                  <wp:docPr id="5" name="图片 5" descr="1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1(2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39629" b="305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9025" cy="184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C94A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6" w:type="dxa"/>
          </w:tcPr>
          <w:p w14:paraId="12DE8A3B">
            <w:pPr>
              <w:jc w:val="center"/>
              <w:rPr>
                <w:rFonts w:hint="default" w:ascii="Arial" w:hAnsi="Arial" w:eastAsia="黑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Front</w:t>
            </w:r>
          </w:p>
        </w:tc>
      </w:tr>
      <w:tr w14:paraId="5DD18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6" w:type="dxa"/>
          </w:tcPr>
          <w:p w14:paraId="2D6AA538">
            <w:pPr>
              <w:jc w:val="both"/>
              <w:rPr>
                <w:rFonts w:hint="default" w:ascii="Arial" w:hAnsi="Arial" w:eastAsia="黑体" w:cs="宋体"/>
                <w:b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b/>
                <w:color w:val="auto"/>
                <w:sz w:val="30"/>
                <w:szCs w:val="30"/>
                <w:lang w:eastAsia="zh-CN"/>
              </w:rPr>
              <w:drawing>
                <wp:inline distT="0" distB="0" distL="114300" distR="114300">
                  <wp:extent cx="6169025" cy="1873885"/>
                  <wp:effectExtent l="0" t="0" r="0" b="0"/>
                  <wp:docPr id="6" name="图片 6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40885" b="287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9025" cy="187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310A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6" w:type="dxa"/>
          </w:tcPr>
          <w:p w14:paraId="6F576B8D">
            <w:pPr>
              <w:jc w:val="center"/>
              <w:rPr>
                <w:rFonts w:hint="default" w:ascii="Arial" w:hAnsi="Arial" w:eastAsia="黑体" w:cs="宋体"/>
                <w:b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B</w:t>
            </w:r>
            <w:r>
              <w:rPr>
                <w:rFonts w:hint="default" w:ascii="Arial" w:hAnsi="Arial" w:eastAsia="黑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ack</w:t>
            </w:r>
          </w:p>
        </w:tc>
      </w:tr>
    </w:tbl>
    <w:p w14:paraId="4D920CD1">
      <w:pPr>
        <w:rPr>
          <w:rFonts w:hint="eastAsia" w:ascii="Arial" w:hAnsi="Arial" w:eastAsia="黑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黑体" w:cs="宋体"/>
          <w:b/>
          <w:bCs/>
          <w:color w:val="auto"/>
          <w:sz w:val="32"/>
          <w:szCs w:val="32"/>
          <w:lang w:val="en-US" w:eastAsia="zh-CN"/>
        </w:rPr>
        <w:t>Introduction:</w:t>
      </w:r>
    </w:p>
    <w:p w14:paraId="6C9CD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hint="eastAsia" w:ascii="Arial" w:hAnsi="Arial" w:eastAsia="黑体" w:cs="宋体"/>
          <w:color w:val="auto"/>
          <w:sz w:val="28"/>
          <w:szCs w:val="28"/>
          <w:lang w:val="en-US" w:eastAsia="zh-CN"/>
        </w:rPr>
      </w:pPr>
      <w:r>
        <w:rPr>
          <w:rFonts w:hint="eastAsia" w:ascii="Arial" w:hAnsi="Arial" w:eastAsia="黑体" w:cs="宋体"/>
          <w:color w:val="auto"/>
          <w:sz w:val="28"/>
          <w:szCs w:val="28"/>
          <w:lang w:val="en-US" w:eastAsia="zh-CN"/>
        </w:rPr>
        <w:t>The anti-drone gun emits electromagnetic waves through multiple specific frequency bands to interfere with the signal transmission system of commercial drones, thereby achieving drone countermeasures. The product has a simple design and is easy to operate, which is convenient for front-line personnel to use and train. It is suitable for multiple low-altitude security scenarios such as airports, stations, petrochemical oil depots, border inspections, and gatherings.</w:t>
      </w:r>
    </w:p>
    <w:p w14:paraId="55C97B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宋体"/>
          <w:color w:val="auto"/>
          <w:sz w:val="24"/>
          <w:lang w:val="en-US" w:eastAsia="zh-CN"/>
        </w:rPr>
      </w:pPr>
    </w:p>
    <w:p w14:paraId="244265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黑体" w:cs="宋体"/>
          <w:b/>
          <w:bCs/>
          <w:color w:val="auto"/>
          <w:sz w:val="32"/>
          <w:szCs w:val="32"/>
          <w:lang w:val="en-US" w:eastAsia="zh-CN"/>
        </w:rPr>
        <w:t>Features:</w:t>
      </w:r>
    </w:p>
    <w:p w14:paraId="2D24D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Arial" w:hAnsi="Arial" w:eastAsia="黑体" w:cs="宋体"/>
          <w:color w:val="auto"/>
          <w:sz w:val="28"/>
          <w:szCs w:val="28"/>
        </w:rPr>
      </w:pPr>
      <w:r>
        <w:rPr>
          <w:rFonts w:hint="eastAsia" w:ascii="Arial" w:hAnsi="Arial" w:eastAsia="黑体" w:cs="宋体"/>
          <w:b/>
          <w:bCs/>
          <w:color w:val="auto"/>
          <w:sz w:val="28"/>
          <w:szCs w:val="28"/>
        </w:rPr>
        <w:t xml:space="preserve">Directional emission: </w:t>
      </w:r>
      <w:r>
        <w:rPr>
          <w:rFonts w:hint="eastAsia" w:ascii="Arial" w:hAnsi="Arial" w:eastAsia="黑体" w:cs="宋体"/>
          <w:color w:val="auto"/>
          <w:sz w:val="28"/>
          <w:szCs w:val="28"/>
        </w:rPr>
        <w:t>Directed emission of radio blocking signals with concentrated energy;</w:t>
      </w:r>
    </w:p>
    <w:p w14:paraId="7303D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Arial" w:hAnsi="Arial" w:eastAsia="黑体" w:cs="宋体"/>
          <w:color w:val="auto"/>
          <w:sz w:val="28"/>
          <w:szCs w:val="28"/>
        </w:rPr>
      </w:pPr>
      <w:r>
        <w:rPr>
          <w:rFonts w:hint="eastAsia" w:ascii="Arial" w:hAnsi="Arial" w:eastAsia="黑体" w:cs="宋体"/>
          <w:b/>
          <w:bCs/>
          <w:color w:val="auto"/>
          <w:sz w:val="28"/>
          <w:szCs w:val="28"/>
        </w:rPr>
        <w:t>Flexible and convenient:</w:t>
      </w:r>
      <w:r>
        <w:rPr>
          <w:rFonts w:hint="eastAsia" w:ascii="Arial" w:hAnsi="Arial" w:eastAsia="黑体" w:cs="宋体"/>
          <w:color w:val="auto"/>
          <w:sz w:val="28"/>
          <w:szCs w:val="28"/>
        </w:rPr>
        <w:t xml:space="preserve"> Portable design, light equipment, simple operation, high maneuverability;</w:t>
      </w:r>
    </w:p>
    <w:p w14:paraId="4AE9BB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Arial" w:hAnsi="Arial" w:eastAsia="黑体" w:cs="宋体"/>
          <w:color w:val="auto"/>
          <w:sz w:val="28"/>
          <w:szCs w:val="28"/>
        </w:rPr>
      </w:pPr>
      <w:r>
        <w:rPr>
          <w:rFonts w:hint="eastAsia" w:ascii="Arial" w:hAnsi="Arial" w:eastAsia="黑体" w:cs="宋体"/>
          <w:b/>
          <w:bCs/>
          <w:color w:val="auto"/>
          <w:sz w:val="28"/>
          <w:szCs w:val="28"/>
        </w:rPr>
        <w:t>Strong endurance:</w:t>
      </w:r>
      <w:r>
        <w:rPr>
          <w:rFonts w:hint="eastAsia" w:ascii="Arial" w:hAnsi="Arial" w:eastAsia="黑体" w:cs="宋体"/>
          <w:color w:val="auto"/>
          <w:sz w:val="28"/>
          <w:szCs w:val="28"/>
        </w:rPr>
        <w:t xml:space="preserve"> Built-in high-quality battery, long service life;</w:t>
      </w:r>
    </w:p>
    <w:p w14:paraId="5A44B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Arial" w:hAnsi="Arial" w:eastAsia="黑体" w:cs="宋体"/>
          <w:color w:val="auto"/>
          <w:sz w:val="24"/>
        </w:rPr>
      </w:pPr>
      <w:r>
        <w:rPr>
          <w:rFonts w:hint="eastAsia" w:ascii="Arial" w:hAnsi="Arial" w:eastAsia="黑体" w:cs="宋体"/>
          <w:b/>
          <w:bCs/>
          <w:color w:val="auto"/>
          <w:sz w:val="28"/>
          <w:szCs w:val="28"/>
        </w:rPr>
        <w:t xml:space="preserve">Multi-band countermeasure: </w:t>
      </w:r>
      <w:r>
        <w:rPr>
          <w:rFonts w:hint="eastAsia" w:ascii="Arial" w:hAnsi="Arial" w:eastAsia="黑体" w:cs="宋体"/>
          <w:color w:val="auto"/>
          <w:sz w:val="28"/>
          <w:szCs w:val="28"/>
        </w:rPr>
        <w:t>Can counter the communication, image transmission, and navigation links of various drones.</w:t>
      </w:r>
      <w:r>
        <w:rPr>
          <w:rFonts w:hint="eastAsia" w:ascii="Arial" w:hAnsi="Arial" w:eastAsia="黑体" w:cs="宋体"/>
          <w:color w:val="auto"/>
          <w:sz w:val="24"/>
        </w:rPr>
        <w:br w:type="page"/>
      </w:r>
    </w:p>
    <w:p w14:paraId="69FBE5E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160" w:lineRule="exact"/>
        <w:ind w:leftChars="0" w:right="0" w:rightChars="0"/>
        <w:jc w:val="both"/>
        <w:textAlignment w:val="auto"/>
        <w:rPr>
          <w:rFonts w:hint="eastAsia" w:ascii="Arial" w:hAnsi="Arial" w:eastAsia="黑体" w:cs="黑体"/>
          <w:b/>
          <w:bCs/>
          <w:kern w:val="2"/>
          <w:sz w:val="28"/>
          <w:szCs w:val="28"/>
          <w:lang w:val="en-US" w:eastAsia="zh-CN" w:bidi="ar"/>
        </w:rPr>
      </w:pPr>
    </w:p>
    <w:p w14:paraId="45898413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both"/>
        <w:rPr>
          <w:rFonts w:hint="eastAsia" w:ascii="Arial" w:hAnsi="Arial" w:eastAsia="黑体" w:cs="黑体"/>
          <w:b/>
          <w:bCs/>
          <w:kern w:val="2"/>
          <w:sz w:val="32"/>
          <w:szCs w:val="32"/>
        </w:rPr>
      </w:pPr>
      <w:r>
        <w:rPr>
          <w:rFonts w:hint="eastAsia" w:ascii="Arial" w:hAnsi="Arial" w:eastAsia="黑体" w:cs="黑体"/>
          <w:b/>
          <w:bCs/>
          <w:kern w:val="2"/>
          <w:sz w:val="32"/>
          <w:szCs w:val="32"/>
          <w:lang w:val="en-US" w:eastAsia="zh-CN" w:bidi="ar"/>
        </w:rPr>
        <w:t>⚠Risk Warning</w:t>
      </w:r>
    </w:p>
    <w:p w14:paraId="343F5FCF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420" w:leftChars="0" w:right="0" w:hanging="420" w:firstLineChars="0"/>
        <w:jc w:val="left"/>
        <w:textAlignment w:val="auto"/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  <w:t>When the equipment is deployed outdoors, ensure that it is within the effective range of the lightning protection facilities</w:t>
      </w:r>
      <w:r>
        <w:rPr>
          <w:rFonts w:hint="eastAsia" w:ascii="Arial" w:hAnsi="Arial" w:eastAsia="黑体" w:cs="黑体"/>
          <w:b w:val="0"/>
          <w:bCs w:val="0"/>
          <w:kern w:val="2"/>
          <w:sz w:val="28"/>
          <w:szCs w:val="28"/>
          <w:lang w:val="en-US" w:eastAsia="zh-CN"/>
        </w:rPr>
        <w:t>;</w:t>
      </w:r>
    </w:p>
    <w:p w14:paraId="79B0948A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420" w:leftChars="0" w:right="0" w:hanging="420" w:firstLineChars="0"/>
        <w:jc w:val="left"/>
        <w:textAlignment w:val="auto"/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  <w:t>It is strictly forbidden to keep the equipment close to fire sources</w:t>
      </w:r>
    </w:p>
    <w:p w14:paraId="38B9FF90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420" w:leftChars="0" w:right="0" w:hanging="420" w:firstLineChars="0"/>
        <w:jc w:val="left"/>
        <w:textAlignment w:val="auto"/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  <w:t>It is strictly forbidden to disassemble the equipment when it is powered on.</w:t>
      </w:r>
    </w:p>
    <w:p w14:paraId="31020987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420" w:leftChars="0" w:right="0" w:hanging="420" w:firstLineChars="0"/>
        <w:jc w:val="left"/>
        <w:textAlignment w:val="auto"/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 w:val="0"/>
          <w:bCs w:val="0"/>
          <w:kern w:val="2"/>
          <w:sz w:val="28"/>
          <w:szCs w:val="28"/>
        </w:rPr>
        <w:t>Avoid dropping the device into water or allowing liquid to enter the device.</w:t>
      </w:r>
    </w:p>
    <w:p w14:paraId="289B707E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420" w:leftChars="0" w:right="0" w:hanging="420" w:firstLineChars="0"/>
        <w:jc w:val="left"/>
        <w:textAlignment w:val="auto"/>
        <w:rPr>
          <w:rFonts w:hint="eastAsia" w:ascii="Arial" w:hAnsi="Arial" w:eastAsia="黑体" w:cs="黑体"/>
          <w:b w:val="0"/>
          <w:bCs w:val="0"/>
          <w:kern w:val="2"/>
          <w:sz w:val="28"/>
          <w:szCs w:val="28"/>
          <w:lang w:val="en-US" w:eastAsia="zh-CN" w:bidi="ar"/>
        </w:rPr>
      </w:pPr>
      <w:r>
        <w:rPr>
          <w:rFonts w:hint="eastAsia" w:ascii="Arial" w:hAnsi="Arial" w:eastAsia="黑体" w:cs="黑体"/>
          <w:b w:val="0"/>
          <w:bCs w:val="0"/>
          <w:kern w:val="2"/>
          <w:sz w:val="28"/>
          <w:szCs w:val="28"/>
          <w:lang w:val="en-US" w:eastAsia="zh-CN" w:bidi="ar"/>
        </w:rPr>
        <w:t>Before turning on the device, check whether the antenna is fully connected to the corresponding interface.</w:t>
      </w:r>
    </w:p>
    <w:p w14:paraId="0B2ADB8B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420" w:leftChars="0" w:right="0" w:hanging="420" w:firstLineChars="0"/>
        <w:jc w:val="left"/>
        <w:textAlignment w:val="auto"/>
        <w:rPr>
          <w:rFonts w:hint="eastAsia" w:ascii="Arial" w:hAnsi="Arial" w:eastAsia="黑体" w:cs="黑体"/>
          <w:b w:val="0"/>
          <w:bCs w:val="0"/>
          <w:kern w:val="2"/>
          <w:sz w:val="28"/>
          <w:szCs w:val="28"/>
          <w:lang w:val="en-US" w:eastAsia="zh-CN" w:bidi="ar"/>
        </w:rPr>
      </w:pPr>
      <w:r>
        <w:rPr>
          <w:rFonts w:hint="eastAsia" w:ascii="Arial" w:hAnsi="Arial" w:eastAsia="黑体" w:cs="黑体"/>
          <w:b w:val="0"/>
          <w:bCs w:val="0"/>
          <w:kern w:val="2"/>
          <w:sz w:val="28"/>
          <w:szCs w:val="28"/>
          <w:lang w:val="en-US" w:eastAsia="zh-CN" w:bidi="ar"/>
        </w:rPr>
        <w:t>When the device is turned on, patients wearing implantable electronic therapeutic devices (such as pacemakers) should strictly keep a distance of more than 10 meters from the device.</w:t>
      </w:r>
    </w:p>
    <w:p w14:paraId="6F361EBF">
      <w:pPr>
        <w:rPr>
          <w:rFonts w:hint="eastAsia" w:ascii="Arial" w:hAnsi="Arial" w:eastAsia="黑体" w:cs="宋体"/>
          <w:color w:val="auto"/>
          <w:sz w:val="24"/>
        </w:rPr>
      </w:pPr>
    </w:p>
    <w:p w14:paraId="65F96C1B">
      <w:pPr>
        <w:keepNext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/>
        <w:jc w:val="left"/>
        <w:textAlignment w:val="top"/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</w:pP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  <w:t>Packing List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8"/>
        <w:gridCol w:w="3319"/>
        <w:gridCol w:w="3319"/>
      </w:tblGrid>
      <w:tr w14:paraId="7EAAD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8BBA5DA">
            <w:pPr>
              <w:jc w:val="center"/>
              <w:rPr>
                <w:rFonts w:hint="default" w:ascii="Arial" w:hAnsi="Arial" w:eastAsia="黑体" w:cs="宋体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Item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0B18DD3">
            <w:pPr>
              <w:jc w:val="center"/>
              <w:rPr>
                <w:rFonts w:hint="default" w:ascii="Arial" w:hAnsi="Arial" w:eastAsia="黑体" w:cs="宋体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Quantity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1D924FA">
            <w:pPr>
              <w:jc w:val="center"/>
              <w:rPr>
                <w:rFonts w:hint="default" w:ascii="Arial" w:hAnsi="Arial" w:eastAsia="黑体" w:cs="宋体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Unit</w:t>
            </w:r>
          </w:p>
        </w:tc>
      </w:tr>
      <w:tr w14:paraId="49B9A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0E79D69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Jammer gun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A374AAA">
            <w:pPr>
              <w:jc w:val="center"/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5F850A4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piece</w:t>
            </w:r>
          </w:p>
        </w:tc>
      </w:tr>
      <w:tr w14:paraId="21477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B1918DB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Battery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42DF516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0226B3D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piece</w:t>
            </w:r>
          </w:p>
        </w:tc>
      </w:tr>
      <w:tr w14:paraId="405C5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69A162C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Charger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C909C2A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814304F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piece</w:t>
            </w:r>
          </w:p>
        </w:tc>
      </w:tr>
      <w:tr w14:paraId="53897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D60B141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Baldric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A1015D6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0EBFA75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piece</w:t>
            </w:r>
          </w:p>
        </w:tc>
      </w:tr>
      <w:tr w14:paraId="1AFBF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408A401">
            <w:pPr>
              <w:jc w:val="center"/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Aviation box key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1E36F23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3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3187FFF">
            <w:pPr>
              <w:jc w:val="center"/>
              <w:rPr>
                <w:rFonts w:hint="default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宋体"/>
                <w:color w:val="auto"/>
                <w:sz w:val="28"/>
                <w:szCs w:val="28"/>
                <w:vertAlign w:val="baseline"/>
                <w:lang w:val="en-US" w:eastAsia="zh-CN"/>
              </w:rPr>
              <w:t>piece</w:t>
            </w:r>
          </w:p>
        </w:tc>
      </w:tr>
    </w:tbl>
    <w:p w14:paraId="6B600F93">
      <w:pPr>
        <w:rPr>
          <w:rFonts w:hint="eastAsia" w:ascii="Arial" w:hAnsi="Arial" w:eastAsia="黑体" w:cs="宋体"/>
          <w:color w:val="auto"/>
          <w:sz w:val="24"/>
        </w:rPr>
      </w:pPr>
      <w:r>
        <w:rPr>
          <w:rFonts w:hint="eastAsia" w:ascii="Arial" w:hAnsi="Arial" w:eastAsia="黑体" w:cs="宋体"/>
          <w:color w:val="auto"/>
          <w:sz w:val="24"/>
        </w:rPr>
        <w:br w:type="page"/>
      </w:r>
      <w:bookmarkStart w:id="1" w:name="_GoBack"/>
      <w:bookmarkEnd w:id="1"/>
    </w:p>
    <w:p w14:paraId="3E8A190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160" w:lineRule="exact"/>
        <w:ind w:leftChars="0" w:right="0" w:rightChars="0"/>
        <w:jc w:val="both"/>
        <w:textAlignment w:val="auto"/>
        <w:rPr>
          <w:rFonts w:hint="eastAsia" w:ascii="Arial" w:hAnsi="Arial" w:eastAsia="黑体" w:cs="黑体"/>
          <w:b/>
          <w:bCs/>
          <w:kern w:val="2"/>
          <w:sz w:val="28"/>
          <w:szCs w:val="28"/>
          <w:lang w:val="en-US" w:eastAsia="zh-CN" w:bidi="ar"/>
        </w:rPr>
      </w:pPr>
    </w:p>
    <w:p w14:paraId="6B8B054A">
      <w:pPr>
        <w:keepNext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/>
        <w:jc w:val="left"/>
        <w:textAlignment w:val="top"/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eastAsia="zh-CN" w:bidi="ar"/>
        </w:rPr>
      </w:pP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  <w:t>Jamming F</w:t>
      </w: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eastAsia="zh-CN" w:bidi="ar"/>
        </w:rPr>
        <w:t xml:space="preserve">requency </w:t>
      </w: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  <w:t>B</w:t>
      </w: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eastAsia="zh-CN" w:bidi="ar"/>
        </w:rPr>
        <w:t>and:</w:t>
      </w:r>
    </w:p>
    <w:p w14:paraId="2A60B6B5">
      <w:pPr>
        <w:keepNext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/>
        <w:jc w:val="left"/>
        <w:textAlignment w:val="top"/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eastAsia="zh-CN" w:bidi="ar"/>
        </w:rPr>
      </w:pP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eastAsia="zh-CN" w:bidi="ar"/>
        </w:rPr>
        <w:t xml:space="preserve"> </w:t>
      </w:r>
      <w:r>
        <w:rPr>
          <w:rStyle w:val="9"/>
          <w:rFonts w:hint="eastAsia" w:ascii="Arial" w:hAnsi="Arial" w:eastAsia="黑体" w:cs="宋体"/>
          <w:b w:val="0"/>
          <w:bCs w:val="0"/>
          <w:color w:val="auto"/>
          <w:sz w:val="28"/>
          <w:szCs w:val="28"/>
          <w:lang w:eastAsia="zh-CN" w:bidi="ar"/>
        </w:rPr>
        <w:t>(power and frequency can be customized according to needs)</w:t>
      </w: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3317"/>
        <w:gridCol w:w="3318"/>
      </w:tblGrid>
      <w:tr w14:paraId="35759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1F27BC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Arial" w:hAnsi="Arial" w:eastAsia="宋体" w:cs="Arial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OLE_LINK1"/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Channels</w:t>
            </w:r>
          </w:p>
        </w:tc>
        <w:tc>
          <w:tcPr>
            <w:tcW w:w="1666" w:type="pc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696E0F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Frequency</w:t>
            </w:r>
          </w:p>
        </w:tc>
        <w:tc>
          <w:tcPr>
            <w:tcW w:w="1666" w:type="pc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0F2A0F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Power</w:t>
            </w:r>
          </w:p>
        </w:tc>
      </w:tr>
      <w:tr w14:paraId="7EFD5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46989A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CH1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45D81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430-440MHz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169D5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  <w:tr w14:paraId="003E33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2301C5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CH2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5EE21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860-930MHz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39DC8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  <w:tr w14:paraId="3572A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080BD2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CH3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52418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1170-1280MHz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40FD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  <w:tr w14:paraId="42423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260403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CH4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60FC2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1430-1444MHz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688D4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  <w:tr w14:paraId="34E46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598DDE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CH5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71906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1550-1620MHz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7DD40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  <w:tr w14:paraId="4CC87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512785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CH6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794C0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2400-2485 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34670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  <w:tr w14:paraId="136AD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6DA0C6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CH7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710C5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5150-5350MHz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68BFB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  <w:tr w14:paraId="48F96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top"/>
          </w:tcPr>
          <w:p w14:paraId="0A832C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CH8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5BC80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5725-5850MHz</w:t>
            </w:r>
          </w:p>
        </w:tc>
        <w:tc>
          <w:tcPr>
            <w:tcW w:w="166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 w14:paraId="6E203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25W</w:t>
            </w:r>
          </w:p>
        </w:tc>
      </w:tr>
    </w:tbl>
    <w:p w14:paraId="1692FA26">
      <w:pP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</w:pP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  <w:br w:type="page"/>
      </w:r>
    </w:p>
    <w:p w14:paraId="343B2619">
      <w:pPr>
        <w:keepNext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60" w:lineRule="exact"/>
        <w:ind w:leftChars="0"/>
        <w:jc w:val="left"/>
        <w:textAlignment w:val="top"/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</w:pPr>
    </w:p>
    <w:p w14:paraId="1BC2287F">
      <w:pPr>
        <w:keepNext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/>
        <w:jc w:val="left"/>
        <w:textAlignment w:val="top"/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</w:pP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  <w:t>Specifications:</w:t>
      </w:r>
    </w:p>
    <w:tbl>
      <w:tblPr>
        <w:tblStyle w:val="6"/>
        <w:tblW w:w="0" w:type="auto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7"/>
        <w:gridCol w:w="7208"/>
      </w:tblGrid>
      <w:tr w14:paraId="2FA7E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0DC6C6AE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default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Frequency and power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AD55616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433M~5.8G/200W (customizable according to customer needs)</w:t>
            </w:r>
          </w:p>
        </w:tc>
      </w:tr>
      <w:tr w14:paraId="105C3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7B5F506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Antenna direction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A0B5D83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Built-in high-gain directional antenna</w:t>
            </w:r>
          </w:p>
        </w:tc>
      </w:tr>
      <w:tr w14:paraId="49DCB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2D65B6B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Antenna gain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CF4BF3C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5.8G&gt;12dBi, 2.4G&gt;10dBi, 1.5G&gt;8dBi, 1.2G&gt;8dBi</w:t>
            </w:r>
          </w:p>
        </w:tc>
      </w:tr>
      <w:tr w14:paraId="0577F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0ED670CC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System protection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50009A2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Output standing wave protection, temperature protection</w:t>
            </w:r>
          </w:p>
        </w:tc>
      </w:tr>
      <w:tr w14:paraId="55B1C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0D4E563F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Appearance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A472CA2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Handheld gun type</w:t>
            </w:r>
          </w:p>
        </w:tc>
      </w:tr>
      <w:tr w14:paraId="2BC26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3126B7F1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Cooling system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F0F4B9E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Built-in intelligent cooling system</w:t>
            </w:r>
          </w:p>
        </w:tc>
      </w:tr>
      <w:tr w14:paraId="5A14CD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3A8F0C9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Control direction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D9ECE1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Directional 60 degrees</w:t>
            </w:r>
          </w:p>
        </w:tc>
      </w:tr>
      <w:tr w14:paraId="08F34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1948C152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Control distance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05C3402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&gt;1 km</w:t>
            </w:r>
          </w:p>
        </w:tc>
      </w:tr>
      <w:tr w14:paraId="5D99B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03C862E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Battery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89E647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Built-in 10A (28V) battery</w:t>
            </w:r>
          </w:p>
        </w:tc>
      </w:tr>
      <w:tr w14:paraId="6379C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7656ADA5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Charging method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4EEE2B3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External 4A charger, turn on the external switch to charge, automatically manage the charging current, and automatically disconnect when full</w:t>
            </w:r>
          </w:p>
        </w:tc>
      </w:tr>
      <w:tr w14:paraId="4788F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3C0417E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RF output control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A89BD0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1 main power switch, 8 independent frequency band control switches</w:t>
            </w:r>
          </w:p>
        </w:tc>
      </w:tr>
      <w:tr w14:paraId="1B66F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06A6AF17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Power supply method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626932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Built-in DC-28V battery power supply, sustainable power supply time&gt;1h</w:t>
            </w:r>
          </w:p>
        </w:tc>
      </w:tr>
      <w:tr w14:paraId="5E4AA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7DA653DD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Battery power display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8CBCEC5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Built-in battery indicator light at the buttstock</w:t>
            </w:r>
          </w:p>
        </w:tc>
      </w:tr>
      <w:tr w14:paraId="666C2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193FD24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Sight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3137F6B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High-precision sight</w:t>
            </w:r>
          </w:p>
        </w:tc>
      </w:tr>
      <w:tr w14:paraId="712E3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2C02A87E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Total weight (including antenna)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5794CC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About 4.6kg</w:t>
            </w:r>
          </w:p>
        </w:tc>
      </w:tr>
      <w:tr w14:paraId="33B61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49C5B5F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Operating temperature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726A6F2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-35°C～+70°C</w:t>
            </w:r>
          </w:p>
        </w:tc>
      </w:tr>
      <w:tr w14:paraId="1A938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 w14:paraId="4F7D158B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top"/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Arial" w:hAnsi="Arial" w:eastAsia="黑体" w:cs="宋体"/>
                <w:b/>
                <w:bCs/>
                <w:color w:val="auto"/>
                <w:sz w:val="28"/>
                <w:szCs w:val="28"/>
                <w:lang w:val="en-US" w:eastAsia="zh-CN" w:bidi="ar"/>
              </w:rPr>
              <w:t>Operating humidity</w:t>
            </w:r>
          </w:p>
        </w:tc>
        <w:tc>
          <w:tcPr>
            <w:tcW w:w="0" w:type="auto"/>
            <w:tcBorders>
              <w:top w:val="nil"/>
              <w:left w:val="single" w:color="auto" w:sz="4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7E4130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top"/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default" w:ascii="Arial" w:hAnsi="Arial" w:eastAsia="黑体" w:cs="宋体"/>
                <w:color w:val="auto"/>
                <w:sz w:val="28"/>
                <w:szCs w:val="28"/>
                <w:lang w:val="en-US" w:eastAsia="zh-CN" w:bidi="ar"/>
              </w:rPr>
              <w:t>80%</w:t>
            </w:r>
          </w:p>
        </w:tc>
      </w:tr>
    </w:tbl>
    <w:p w14:paraId="053A4F1A">
      <w:pPr>
        <w:rPr>
          <w:rStyle w:val="9"/>
          <w:rFonts w:hint="eastAsia" w:ascii="Arial" w:hAnsi="Arial" w:eastAsia="黑体" w:cs="宋体"/>
          <w:color w:val="auto"/>
          <w:sz w:val="28"/>
          <w:szCs w:val="28"/>
          <w:lang w:val="en-US" w:eastAsia="zh-CN" w:bidi="ar"/>
        </w:rPr>
      </w:pPr>
      <w:r>
        <w:rPr>
          <w:rStyle w:val="9"/>
          <w:rFonts w:hint="eastAsia" w:ascii="Arial" w:hAnsi="Arial" w:eastAsia="黑体" w:cs="宋体"/>
          <w:color w:val="auto"/>
          <w:sz w:val="28"/>
          <w:szCs w:val="28"/>
          <w:lang w:val="en-US" w:eastAsia="zh-CN" w:bidi="ar"/>
        </w:rPr>
        <w:br w:type="page"/>
      </w:r>
    </w:p>
    <w:p w14:paraId="7CDF1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60" w:lineRule="exact"/>
        <w:textAlignment w:val="auto"/>
        <w:rPr>
          <w:rStyle w:val="9"/>
          <w:rFonts w:hint="eastAsia" w:ascii="Arial" w:hAnsi="Arial" w:eastAsia="黑体" w:cs="宋体"/>
          <w:color w:val="auto"/>
          <w:sz w:val="28"/>
          <w:szCs w:val="28"/>
          <w:lang w:val="en-US" w:eastAsia="zh-CN" w:bidi="ar"/>
        </w:rPr>
      </w:pPr>
    </w:p>
    <w:p w14:paraId="018F512F">
      <w:pPr>
        <w:rPr>
          <w:rStyle w:val="9"/>
          <w:rFonts w:hint="default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</w:pPr>
      <w:r>
        <w:rPr>
          <w:rStyle w:val="9"/>
          <w:rFonts w:hint="eastAsia" w:ascii="Arial" w:hAnsi="Arial" w:eastAsia="黑体" w:cs="宋体"/>
          <w:b/>
          <w:bCs/>
          <w:color w:val="auto"/>
          <w:sz w:val="28"/>
          <w:szCs w:val="28"/>
          <w:lang w:val="en-US" w:eastAsia="zh-CN" w:bidi="ar"/>
        </w:rPr>
        <w:t>CAD of the Size:</w:t>
      </w:r>
    </w:p>
    <w:p w14:paraId="207519F2">
      <w:pPr>
        <w:rPr>
          <w:rStyle w:val="9"/>
          <w:rFonts w:hint="default" w:ascii="Arial" w:hAnsi="Arial" w:eastAsia="黑体" w:cs="宋体"/>
          <w:color w:val="auto"/>
          <w:sz w:val="28"/>
          <w:szCs w:val="28"/>
          <w:lang w:val="en-US" w:eastAsia="zh-CN" w:bidi="ar"/>
        </w:rPr>
      </w:pPr>
      <w:r>
        <w:rPr>
          <w:rStyle w:val="9"/>
          <w:rFonts w:hint="default" w:ascii="Arial" w:hAnsi="Arial" w:eastAsia="黑体" w:cs="宋体"/>
          <w:color w:val="auto"/>
          <w:sz w:val="28"/>
          <w:szCs w:val="28"/>
          <w:lang w:val="en-US" w:eastAsia="zh-CN" w:bidi="ar"/>
        </w:rPr>
        <w:drawing>
          <wp:inline distT="0" distB="0" distL="114300" distR="114300">
            <wp:extent cx="6178550" cy="6309360"/>
            <wp:effectExtent l="0" t="0" r="12700" b="15240"/>
            <wp:docPr id="9" name="图片 9" descr="Lance-Size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Lance-Size_0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78550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1573A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Arial" w:hAnsi="Arial" w:eastAsia="黑体" w:cs="宋体"/>
          <w:b/>
          <w:vanish/>
          <w:color w:val="auto"/>
          <w:sz w:val="32"/>
          <w:szCs w:val="32"/>
        </w:rPr>
      </w:pPr>
    </w:p>
    <w:sectPr>
      <w:footerReference r:id="rId5" w:type="default"/>
      <w:pgSz w:w="11906" w:h="16838"/>
      <w:pgMar w:top="1270" w:right="1083" w:bottom="1270" w:left="1083" w:header="567" w:footer="85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8CCDBEB-41B7-4C15-9E74-1614BC2E6DD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5E4C98D-E3FD-4057-AC5A-BD8B721A31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3" w:fontKey="{51ADBF95-6E34-44CC-BC3E-1BEA9D7FFE9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053645">
    <w:pPr>
      <w:pStyle w:val="3"/>
      <w:tabs>
        <w:tab w:val="center" w:pos="4930"/>
        <w:tab w:val="left" w:pos="5541"/>
        <w:tab w:val="clear" w:pos="4153"/>
      </w:tabs>
      <w:jc w:val="left"/>
    </w:pP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37D37B">
    <w:pPr>
      <w:pStyle w:val="3"/>
      <w:tabs>
        <w:tab w:val="center" w:pos="4930"/>
        <w:tab w:val="left" w:pos="5541"/>
        <w:tab w:val="clear" w:pos="4153"/>
      </w:tabs>
      <w:jc w:val="lef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17AA92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17AA92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A9ED98">
    <w:pPr>
      <w:pStyle w:val="4"/>
      <w:pBdr>
        <w:bottom w:val="single" w:color="auto" w:sz="4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182995" cy="441325"/>
          <wp:effectExtent l="0" t="0" r="8255" b="15875"/>
          <wp:docPr id="2" name="图片 2" descr="卓利隆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卓利隆页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299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D5202A"/>
    <w:multiLevelType w:val="multilevel"/>
    <w:tmpl w:val="B3D5202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jg4MWNiNTIxNmM1NGQzMGYyZTQzNjY5YzI1ODMifQ=="/>
  </w:docVars>
  <w:rsids>
    <w:rsidRoot w:val="39BC20A5"/>
    <w:rsid w:val="00014A7C"/>
    <w:rsid w:val="000871E1"/>
    <w:rsid w:val="00114503"/>
    <w:rsid w:val="00204A1B"/>
    <w:rsid w:val="00C57253"/>
    <w:rsid w:val="00D16EF0"/>
    <w:rsid w:val="00D42158"/>
    <w:rsid w:val="00DD6E0F"/>
    <w:rsid w:val="00FC3FCB"/>
    <w:rsid w:val="01D947B0"/>
    <w:rsid w:val="0429081E"/>
    <w:rsid w:val="048141AC"/>
    <w:rsid w:val="0667745C"/>
    <w:rsid w:val="071C0812"/>
    <w:rsid w:val="0C6A432F"/>
    <w:rsid w:val="127A03BA"/>
    <w:rsid w:val="139A199E"/>
    <w:rsid w:val="183A16C8"/>
    <w:rsid w:val="1C676A1C"/>
    <w:rsid w:val="20490A2A"/>
    <w:rsid w:val="20FC606D"/>
    <w:rsid w:val="22C205C9"/>
    <w:rsid w:val="25F92BFB"/>
    <w:rsid w:val="26F61BB2"/>
    <w:rsid w:val="2B997E36"/>
    <w:rsid w:val="2F036E54"/>
    <w:rsid w:val="2F9407CE"/>
    <w:rsid w:val="2FD31DE3"/>
    <w:rsid w:val="2FDC6A42"/>
    <w:rsid w:val="30080ABE"/>
    <w:rsid w:val="3033162D"/>
    <w:rsid w:val="313A4D79"/>
    <w:rsid w:val="334D421A"/>
    <w:rsid w:val="34FB796B"/>
    <w:rsid w:val="35844DEB"/>
    <w:rsid w:val="35C44201"/>
    <w:rsid w:val="35C727F7"/>
    <w:rsid w:val="37367FB6"/>
    <w:rsid w:val="384C5671"/>
    <w:rsid w:val="39BC20A5"/>
    <w:rsid w:val="3AB35518"/>
    <w:rsid w:val="3D5A5526"/>
    <w:rsid w:val="41E7631A"/>
    <w:rsid w:val="457B10DD"/>
    <w:rsid w:val="4C56392B"/>
    <w:rsid w:val="4F3E697A"/>
    <w:rsid w:val="56502691"/>
    <w:rsid w:val="570E3F48"/>
    <w:rsid w:val="5A252C10"/>
    <w:rsid w:val="5A845B89"/>
    <w:rsid w:val="5F525F6D"/>
    <w:rsid w:val="60FE3B9F"/>
    <w:rsid w:val="65901886"/>
    <w:rsid w:val="66D806B0"/>
    <w:rsid w:val="76AD36BA"/>
    <w:rsid w:val="79D059FE"/>
    <w:rsid w:val="7A73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1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41"/>
    <w:basedOn w:val="8"/>
    <w:autoRedefine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character" w:customStyle="1" w:styleId="11">
    <w:name w:val="font31"/>
    <w:basedOn w:val="8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character" w:customStyle="1" w:styleId="12">
    <w:name w:val="font01"/>
    <w:basedOn w:val="8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3">
    <w:name w:val="font21"/>
    <w:basedOn w:val="8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398</Words>
  <Characters>2494</Characters>
  <Lines>19</Lines>
  <Paragraphs>5</Paragraphs>
  <TotalTime>2</TotalTime>
  <ScaleCrop>false</ScaleCrop>
  <LinksUpToDate>false</LinksUpToDate>
  <CharactersWithSpaces>2805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2023-07-03T08:45:00Z</dcterms:created>
  <dc:creator>GH</dc:creator>
  <cp:lastModifiedBy>Anonymous</cp:lastModifiedBy>
  <dcterms:modified xsi:type="dcterms:W3CDTF">2025-05-16T01:54:43Z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DB2416C063D340648315E9474F2ECC4E_11</vt:lpwstr>
  </property>
  <property fmtid="{D5CDD505-2E9C-101B-9397-08002B2CF9AE}" pid="4" name="KSOTemplateDocerSaveRecord">
    <vt:lpwstr>eyJoZGlkIjoiNGVhNjg4MWNiNTIxNmM1NGQzMGYyZTQzNjY5YzI1ODMiLCJ1c2VySWQiOiIzNTcxMTE4MDMifQ==</vt:lpwstr>
  </property>
</Properties>
</file>